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7151F" w14:textId="77777777" w:rsidR="004D62F6" w:rsidRPr="004D62F6" w:rsidRDefault="004D62F6" w:rsidP="004D62F6">
      <w:pPr>
        <w:jc w:val="center"/>
        <w:rPr>
          <w:rFonts w:ascii="Aptos" w:hAnsi="Aptos"/>
          <w:b/>
          <w:bCs/>
          <w:sz w:val="20"/>
          <w:szCs w:val="20"/>
        </w:rPr>
      </w:pPr>
      <w:r w:rsidRPr="004D62F6">
        <w:rPr>
          <w:rFonts w:ascii="Aptos" w:hAnsi="Aptos"/>
          <w:b/>
          <w:bCs/>
          <w:sz w:val="20"/>
          <w:szCs w:val="20"/>
        </w:rPr>
        <w:t>SPECYFIKACJA TECHNICZNO – FUNKCJONALNA</w:t>
      </w:r>
    </w:p>
    <w:p w14:paraId="01E1FED6" w14:textId="3831DB85" w:rsidR="004D62F6" w:rsidRPr="004D62F6" w:rsidRDefault="004D62F6" w:rsidP="004D62F6">
      <w:pPr>
        <w:jc w:val="center"/>
        <w:rPr>
          <w:rFonts w:ascii="Aptos" w:hAnsi="Aptos"/>
          <w:b/>
          <w:bCs/>
          <w:sz w:val="20"/>
          <w:szCs w:val="20"/>
        </w:rPr>
      </w:pPr>
      <w:r w:rsidRPr="004D62F6">
        <w:rPr>
          <w:rFonts w:ascii="Aptos" w:hAnsi="Aptos"/>
          <w:b/>
          <w:bCs/>
          <w:sz w:val="20"/>
          <w:szCs w:val="20"/>
        </w:rPr>
        <w:t>Kardiomonitor kompaktowy</w:t>
      </w:r>
    </w:p>
    <w:p w14:paraId="55FA108A" w14:textId="77777777" w:rsidR="004D62F6" w:rsidRPr="004D62F6" w:rsidRDefault="004D62F6" w:rsidP="004D62F6">
      <w:pPr>
        <w:jc w:val="center"/>
        <w:rPr>
          <w:rFonts w:ascii="Aptos" w:hAnsi="Aptos"/>
          <w:b/>
          <w:bCs/>
          <w:sz w:val="20"/>
          <w:szCs w:val="20"/>
        </w:rPr>
      </w:pPr>
    </w:p>
    <w:p w14:paraId="75595754" w14:textId="77777777" w:rsidR="004D62F6" w:rsidRPr="004D62F6" w:rsidRDefault="004D62F6" w:rsidP="004D62F6">
      <w:pPr>
        <w:rPr>
          <w:rFonts w:ascii="Aptos" w:hAnsi="Aptos"/>
          <w:b/>
          <w:bCs/>
          <w:sz w:val="20"/>
          <w:szCs w:val="20"/>
        </w:rPr>
      </w:pPr>
      <w:r w:rsidRPr="004D62F6">
        <w:rPr>
          <w:rFonts w:ascii="Aptos" w:hAnsi="Aptos"/>
          <w:b/>
          <w:bCs/>
          <w:sz w:val="20"/>
          <w:szCs w:val="20"/>
        </w:rPr>
        <w:t>Oferowane urządzenie (typ, model, producent) ………………………………….</w:t>
      </w:r>
    </w:p>
    <w:p w14:paraId="7190FD77" w14:textId="77777777" w:rsidR="004D62F6" w:rsidRPr="004D62F6" w:rsidRDefault="004D62F6">
      <w:pPr>
        <w:rPr>
          <w:rFonts w:ascii="Aptos" w:hAnsi="Aptos"/>
          <w:sz w:val="20"/>
          <w:szCs w:val="20"/>
        </w:rPr>
      </w:pPr>
    </w:p>
    <w:p w14:paraId="7ED9B94F" w14:textId="77777777" w:rsidR="004D62F6" w:rsidRPr="004D62F6" w:rsidRDefault="004D62F6">
      <w:pPr>
        <w:rPr>
          <w:rFonts w:ascii="Aptos" w:hAnsi="Aptos"/>
          <w:sz w:val="20"/>
          <w:szCs w:val="20"/>
        </w:rPr>
      </w:pPr>
    </w:p>
    <w:tbl>
      <w:tblPr>
        <w:tblStyle w:val="Tabela-Siatka"/>
        <w:tblW w:w="14029" w:type="dxa"/>
        <w:jc w:val="center"/>
        <w:tblLook w:val="04A0" w:firstRow="1" w:lastRow="0" w:firstColumn="1" w:lastColumn="0" w:noHBand="0" w:noVBand="1"/>
      </w:tblPr>
      <w:tblGrid>
        <w:gridCol w:w="664"/>
        <w:gridCol w:w="6844"/>
        <w:gridCol w:w="2268"/>
        <w:gridCol w:w="4253"/>
      </w:tblGrid>
      <w:tr w:rsidR="003902E0" w:rsidRPr="004D62F6" w14:paraId="074FA5D2" w14:textId="77777777" w:rsidTr="004D62F6">
        <w:trPr>
          <w:jc w:val="center"/>
        </w:trPr>
        <w:tc>
          <w:tcPr>
            <w:tcW w:w="664" w:type="dxa"/>
            <w:vAlign w:val="center"/>
          </w:tcPr>
          <w:p w14:paraId="1D0B3B54" w14:textId="77777777" w:rsidR="003902E0" w:rsidRPr="004D62F6" w:rsidRDefault="003902E0" w:rsidP="00B74443">
            <w:pPr>
              <w:jc w:val="center"/>
              <w:rPr>
                <w:rFonts w:ascii="Aptos" w:hAnsi="Aptos" w:cstheme="majorHAnsi"/>
                <w:b/>
                <w:bCs/>
                <w:sz w:val="20"/>
                <w:szCs w:val="20"/>
              </w:rPr>
            </w:pPr>
            <w:r w:rsidRPr="004D62F6">
              <w:rPr>
                <w:rFonts w:ascii="Aptos" w:hAnsi="Aptos" w:cstheme="majorHAnsi"/>
                <w:b/>
                <w:bCs/>
                <w:sz w:val="20"/>
                <w:szCs w:val="20"/>
              </w:rPr>
              <w:t>L. P.</w:t>
            </w:r>
          </w:p>
        </w:tc>
        <w:tc>
          <w:tcPr>
            <w:tcW w:w="6844" w:type="dxa"/>
            <w:vAlign w:val="center"/>
          </w:tcPr>
          <w:p w14:paraId="52EFD58A" w14:textId="77777777" w:rsidR="003902E0" w:rsidRPr="004D62F6" w:rsidRDefault="003902E0" w:rsidP="00B74443">
            <w:pPr>
              <w:jc w:val="center"/>
              <w:rPr>
                <w:rFonts w:ascii="Aptos" w:hAnsi="Aptos" w:cstheme="majorHAnsi"/>
                <w:b/>
                <w:bCs/>
                <w:sz w:val="20"/>
                <w:szCs w:val="20"/>
              </w:rPr>
            </w:pPr>
            <w:r w:rsidRPr="004D62F6">
              <w:rPr>
                <w:rFonts w:ascii="Aptos" w:hAnsi="Aptos" w:cstheme="majorHAnsi"/>
                <w:b/>
                <w:bCs/>
                <w:sz w:val="20"/>
                <w:szCs w:val="20"/>
              </w:rPr>
              <w:t>OPIS</w:t>
            </w:r>
          </w:p>
        </w:tc>
        <w:tc>
          <w:tcPr>
            <w:tcW w:w="2268" w:type="dxa"/>
            <w:vAlign w:val="center"/>
          </w:tcPr>
          <w:p w14:paraId="55DFE8AC" w14:textId="77777777" w:rsidR="003902E0" w:rsidRPr="004D62F6" w:rsidRDefault="003902E0" w:rsidP="00B74443">
            <w:pPr>
              <w:jc w:val="center"/>
              <w:rPr>
                <w:rFonts w:ascii="Aptos" w:hAnsi="Aptos" w:cstheme="majorHAnsi"/>
                <w:b/>
                <w:bCs/>
                <w:sz w:val="20"/>
                <w:szCs w:val="20"/>
              </w:rPr>
            </w:pPr>
            <w:r w:rsidRPr="004D62F6">
              <w:rPr>
                <w:rFonts w:ascii="Aptos" w:hAnsi="Aptos" w:cstheme="majorHAnsi"/>
                <w:b/>
                <w:bCs/>
                <w:sz w:val="20"/>
                <w:szCs w:val="20"/>
              </w:rPr>
              <w:t>PARAMETR WYMAGANY</w:t>
            </w:r>
          </w:p>
        </w:tc>
        <w:tc>
          <w:tcPr>
            <w:tcW w:w="4253" w:type="dxa"/>
            <w:vAlign w:val="center"/>
          </w:tcPr>
          <w:p w14:paraId="09EDEAA6" w14:textId="77777777" w:rsidR="003902E0" w:rsidRPr="004D62F6" w:rsidRDefault="003902E0" w:rsidP="00B74443">
            <w:pPr>
              <w:jc w:val="center"/>
              <w:rPr>
                <w:rFonts w:ascii="Aptos" w:hAnsi="Aptos" w:cstheme="majorHAnsi"/>
                <w:b/>
                <w:bCs/>
                <w:sz w:val="20"/>
                <w:szCs w:val="20"/>
              </w:rPr>
            </w:pPr>
            <w:r w:rsidRPr="004D62F6">
              <w:rPr>
                <w:rFonts w:ascii="Aptos" w:hAnsi="Aptos" w:cstheme="majorHAnsi"/>
                <w:b/>
                <w:bCs/>
                <w:sz w:val="20"/>
                <w:szCs w:val="20"/>
              </w:rPr>
              <w:t>PARAMETR OFEROWANY</w:t>
            </w:r>
          </w:p>
        </w:tc>
      </w:tr>
      <w:tr w:rsidR="003902E0" w:rsidRPr="004D62F6" w14:paraId="2BFA5382" w14:textId="77777777" w:rsidTr="00B74443">
        <w:trPr>
          <w:jc w:val="center"/>
        </w:trPr>
        <w:tc>
          <w:tcPr>
            <w:tcW w:w="14029" w:type="dxa"/>
            <w:gridSpan w:val="4"/>
            <w:vAlign w:val="center"/>
          </w:tcPr>
          <w:p w14:paraId="15990FA8" w14:textId="77777777" w:rsidR="003902E0" w:rsidRPr="004D62F6" w:rsidRDefault="003902E0" w:rsidP="00B74443">
            <w:pPr>
              <w:rPr>
                <w:rFonts w:ascii="Aptos" w:hAnsi="Aptos" w:cstheme="majorHAnsi"/>
                <w:b/>
                <w:bCs/>
                <w:sz w:val="20"/>
                <w:szCs w:val="20"/>
              </w:rPr>
            </w:pPr>
            <w:r w:rsidRPr="004D62F6">
              <w:rPr>
                <w:rFonts w:ascii="Aptos" w:hAnsi="Aptos" w:cstheme="majorHAnsi"/>
                <w:b/>
                <w:bCs/>
                <w:sz w:val="20"/>
                <w:szCs w:val="20"/>
              </w:rPr>
              <w:t>Kardiomonitor kompaktowy</w:t>
            </w:r>
          </w:p>
        </w:tc>
      </w:tr>
      <w:tr w:rsidR="003902E0" w:rsidRPr="004D62F6" w14:paraId="06C3F129" w14:textId="77777777" w:rsidTr="004D62F6">
        <w:trPr>
          <w:jc w:val="center"/>
        </w:trPr>
        <w:tc>
          <w:tcPr>
            <w:tcW w:w="664" w:type="dxa"/>
            <w:vAlign w:val="center"/>
          </w:tcPr>
          <w:p w14:paraId="55A8CFF1"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483E2512" w14:textId="77777777" w:rsidR="003902E0" w:rsidRPr="004D62F6" w:rsidRDefault="003902E0" w:rsidP="00B74443">
            <w:pPr>
              <w:pStyle w:val="Style10"/>
              <w:jc w:val="left"/>
              <w:rPr>
                <w:rFonts w:ascii="Aptos" w:hAnsi="Aptos" w:cstheme="majorHAnsi"/>
                <w:sz w:val="20"/>
                <w:szCs w:val="20"/>
              </w:rPr>
            </w:pPr>
            <w:r w:rsidRPr="004D62F6">
              <w:rPr>
                <w:rFonts w:ascii="Aptos" w:hAnsi="Aptos" w:cstheme="majorHAnsi"/>
                <w:sz w:val="20"/>
                <w:szCs w:val="20"/>
              </w:rPr>
              <w:t>Kolorowy pojedynczy ekran w postaci płaskiego panelu LCD TFT o przekątnej minimum 15", rozdzielczości co najmniej 1300x700 pikseli.</w:t>
            </w:r>
          </w:p>
        </w:tc>
        <w:tc>
          <w:tcPr>
            <w:tcW w:w="2268" w:type="dxa"/>
            <w:vAlign w:val="center"/>
          </w:tcPr>
          <w:p w14:paraId="1320F92F"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73044B26" w14:textId="77777777" w:rsidR="003902E0" w:rsidRPr="004D62F6" w:rsidRDefault="003902E0" w:rsidP="00B74443">
            <w:pPr>
              <w:jc w:val="center"/>
              <w:rPr>
                <w:rFonts w:ascii="Aptos" w:hAnsi="Aptos" w:cstheme="majorHAnsi"/>
                <w:sz w:val="20"/>
                <w:szCs w:val="20"/>
              </w:rPr>
            </w:pPr>
          </w:p>
        </w:tc>
      </w:tr>
      <w:tr w:rsidR="003902E0" w:rsidRPr="004D62F6" w14:paraId="1560F4A9" w14:textId="77777777" w:rsidTr="004D62F6">
        <w:trPr>
          <w:jc w:val="center"/>
        </w:trPr>
        <w:tc>
          <w:tcPr>
            <w:tcW w:w="664" w:type="dxa"/>
            <w:vAlign w:val="center"/>
          </w:tcPr>
          <w:p w14:paraId="26076B37"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05A8F51A" w14:textId="77777777" w:rsidR="003902E0" w:rsidRPr="004D62F6" w:rsidRDefault="003902E0" w:rsidP="00B74443">
            <w:pPr>
              <w:pStyle w:val="Style10"/>
              <w:jc w:val="left"/>
              <w:rPr>
                <w:rFonts w:ascii="Aptos" w:hAnsi="Aptos" w:cstheme="majorHAnsi"/>
                <w:sz w:val="20"/>
                <w:szCs w:val="20"/>
              </w:rPr>
            </w:pPr>
            <w:r w:rsidRPr="004D62F6">
              <w:rPr>
                <w:rFonts w:ascii="Aptos" w:hAnsi="Aptos" w:cstheme="majorHAnsi"/>
                <w:sz w:val="20"/>
                <w:szCs w:val="20"/>
              </w:rPr>
              <w:t>W obudowie monitora miejsce na akcesoria pomiarowe.</w:t>
            </w:r>
          </w:p>
        </w:tc>
        <w:tc>
          <w:tcPr>
            <w:tcW w:w="2268" w:type="dxa"/>
            <w:vAlign w:val="center"/>
          </w:tcPr>
          <w:p w14:paraId="3DCF8AF0" w14:textId="6DE5B784" w:rsidR="004D62F6" w:rsidRPr="004D62F6" w:rsidRDefault="003902E0" w:rsidP="004D62F6">
            <w:pPr>
              <w:jc w:val="center"/>
              <w:rPr>
                <w:rFonts w:ascii="Aptos" w:hAnsi="Aptos" w:cstheme="majorHAnsi"/>
                <w:sz w:val="20"/>
                <w:szCs w:val="20"/>
              </w:rPr>
            </w:pPr>
            <w:r w:rsidRPr="004D62F6">
              <w:rPr>
                <w:rFonts w:ascii="Aptos" w:hAnsi="Aptos" w:cstheme="majorHAnsi"/>
                <w:sz w:val="20"/>
                <w:szCs w:val="20"/>
              </w:rPr>
              <w:t>TAK</w:t>
            </w:r>
          </w:p>
          <w:p w14:paraId="5E11DE45" w14:textId="6B35DD48" w:rsidR="003902E0" w:rsidRPr="004D62F6" w:rsidRDefault="003902E0" w:rsidP="00B74443">
            <w:pPr>
              <w:jc w:val="center"/>
              <w:rPr>
                <w:rFonts w:ascii="Aptos" w:hAnsi="Aptos" w:cstheme="majorHAnsi"/>
                <w:sz w:val="20"/>
                <w:szCs w:val="20"/>
              </w:rPr>
            </w:pPr>
          </w:p>
        </w:tc>
        <w:tc>
          <w:tcPr>
            <w:tcW w:w="4253" w:type="dxa"/>
            <w:vAlign w:val="center"/>
          </w:tcPr>
          <w:p w14:paraId="6E88E909" w14:textId="77777777" w:rsidR="003902E0" w:rsidRPr="004D62F6" w:rsidRDefault="003902E0" w:rsidP="00B74443">
            <w:pPr>
              <w:jc w:val="center"/>
              <w:rPr>
                <w:rFonts w:ascii="Aptos" w:hAnsi="Aptos" w:cstheme="majorHAnsi"/>
                <w:sz w:val="20"/>
                <w:szCs w:val="20"/>
              </w:rPr>
            </w:pPr>
          </w:p>
        </w:tc>
      </w:tr>
      <w:tr w:rsidR="003902E0" w:rsidRPr="004D62F6" w14:paraId="05F22A49" w14:textId="77777777" w:rsidTr="004D62F6">
        <w:trPr>
          <w:jc w:val="center"/>
        </w:trPr>
        <w:tc>
          <w:tcPr>
            <w:tcW w:w="664" w:type="dxa"/>
            <w:vAlign w:val="center"/>
          </w:tcPr>
          <w:p w14:paraId="4396AA92"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061A7F34"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Opisy i komunikaty ekranowe w języku polskim. Obsługa poprzez ekran dotykowy z funkcją obsługi gestów, przyciski funkcyjne oraz pokrętło. Fabrycznie skonfigurowane co najmniej trzy układy ekranu: normalny (krzywe dynamiczne i wartości parametrów), minitrendów (krótkie trendy, krzywe dynamiczne i wartości parametrów), duże odczyty. Szybkie przełączanie między ekranami, bez wchodzenia do menu, za pomocą gestów np. przesunięcie w lewo lub w prawo dwoma palcami po ekranie. Monitor wyposażony w funkcje demo oraz tryb szkoleniowy zawierający podstawowe instrukcje dotyczące korzystania z monitora.</w:t>
            </w:r>
          </w:p>
        </w:tc>
        <w:tc>
          <w:tcPr>
            <w:tcW w:w="2268" w:type="dxa"/>
            <w:vAlign w:val="center"/>
          </w:tcPr>
          <w:p w14:paraId="418EB167"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1A388926" w14:textId="77777777" w:rsidR="003902E0" w:rsidRPr="004D62F6" w:rsidRDefault="003902E0" w:rsidP="00B74443">
            <w:pPr>
              <w:jc w:val="center"/>
              <w:rPr>
                <w:rFonts w:ascii="Aptos" w:hAnsi="Aptos" w:cstheme="majorHAnsi"/>
                <w:sz w:val="20"/>
                <w:szCs w:val="20"/>
              </w:rPr>
            </w:pPr>
          </w:p>
        </w:tc>
      </w:tr>
      <w:tr w:rsidR="003902E0" w:rsidRPr="004D62F6" w14:paraId="5A3BA947" w14:textId="77777777" w:rsidTr="004D62F6">
        <w:trPr>
          <w:jc w:val="center"/>
        </w:trPr>
        <w:tc>
          <w:tcPr>
            <w:tcW w:w="664" w:type="dxa"/>
            <w:vAlign w:val="center"/>
          </w:tcPr>
          <w:p w14:paraId="364CDDD4"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3DE6E768"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Do 12 krzywych dynamicznych wyświetlanych jednocześnie na ekranie</w:t>
            </w:r>
          </w:p>
        </w:tc>
        <w:tc>
          <w:tcPr>
            <w:tcW w:w="2268" w:type="dxa"/>
            <w:vAlign w:val="center"/>
          </w:tcPr>
          <w:p w14:paraId="5E484F01"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p w14:paraId="170BCB7B" w14:textId="77777777" w:rsidR="003902E0" w:rsidRPr="004D62F6" w:rsidRDefault="003902E0" w:rsidP="00B74443">
            <w:pPr>
              <w:jc w:val="center"/>
              <w:rPr>
                <w:rFonts w:ascii="Aptos" w:hAnsi="Aptos" w:cstheme="majorHAnsi"/>
                <w:sz w:val="20"/>
                <w:szCs w:val="20"/>
              </w:rPr>
            </w:pPr>
          </w:p>
        </w:tc>
        <w:tc>
          <w:tcPr>
            <w:tcW w:w="4253" w:type="dxa"/>
            <w:vAlign w:val="center"/>
          </w:tcPr>
          <w:p w14:paraId="3A89F9A9" w14:textId="77777777" w:rsidR="003902E0" w:rsidRPr="004D62F6" w:rsidRDefault="003902E0" w:rsidP="00B74443">
            <w:pPr>
              <w:jc w:val="center"/>
              <w:rPr>
                <w:rFonts w:ascii="Aptos" w:hAnsi="Aptos" w:cstheme="majorHAnsi"/>
                <w:sz w:val="20"/>
                <w:szCs w:val="20"/>
              </w:rPr>
            </w:pPr>
          </w:p>
        </w:tc>
      </w:tr>
      <w:tr w:rsidR="003902E0" w:rsidRPr="004D62F6" w14:paraId="4809C7D5" w14:textId="77777777" w:rsidTr="004D62F6">
        <w:trPr>
          <w:jc w:val="center"/>
        </w:trPr>
        <w:tc>
          <w:tcPr>
            <w:tcW w:w="664" w:type="dxa"/>
            <w:vAlign w:val="center"/>
          </w:tcPr>
          <w:p w14:paraId="3DD9DD50"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6A0C1BB4"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Zasilanie sieciowe dostosowane do 230V / 50 Hz. Wewnętrzny akumulator, wymienialny przez użytkownika, pozwalający na minimum 240 minut pracy w konfiguracji EKG, NIBP, SpO2.</w:t>
            </w:r>
          </w:p>
        </w:tc>
        <w:tc>
          <w:tcPr>
            <w:tcW w:w="2268" w:type="dxa"/>
            <w:vAlign w:val="center"/>
          </w:tcPr>
          <w:p w14:paraId="6D8FB9D4"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3DD8FA5E" w14:textId="77777777" w:rsidR="003902E0" w:rsidRPr="004D62F6" w:rsidRDefault="003902E0" w:rsidP="00B74443">
            <w:pPr>
              <w:jc w:val="center"/>
              <w:rPr>
                <w:rFonts w:ascii="Aptos" w:hAnsi="Aptos" w:cstheme="majorHAnsi"/>
                <w:sz w:val="20"/>
                <w:szCs w:val="20"/>
              </w:rPr>
            </w:pPr>
          </w:p>
        </w:tc>
      </w:tr>
      <w:tr w:rsidR="003902E0" w:rsidRPr="004D62F6" w14:paraId="5EF8BAEE" w14:textId="77777777" w:rsidTr="004D62F6">
        <w:trPr>
          <w:jc w:val="center"/>
        </w:trPr>
        <w:tc>
          <w:tcPr>
            <w:tcW w:w="664" w:type="dxa"/>
            <w:vAlign w:val="center"/>
          </w:tcPr>
          <w:p w14:paraId="3A440E7F"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5FECE8FD"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Cicha praca urządzenia – chłodzenie konwekcyjne bez stosowania wentylatorów</w:t>
            </w:r>
          </w:p>
        </w:tc>
        <w:tc>
          <w:tcPr>
            <w:tcW w:w="2268" w:type="dxa"/>
            <w:vAlign w:val="center"/>
          </w:tcPr>
          <w:p w14:paraId="1EB31D5C"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587A1807" w14:textId="77777777" w:rsidR="003902E0" w:rsidRPr="004D62F6" w:rsidRDefault="003902E0" w:rsidP="00B74443">
            <w:pPr>
              <w:jc w:val="center"/>
              <w:rPr>
                <w:rFonts w:ascii="Aptos" w:hAnsi="Aptos" w:cstheme="majorHAnsi"/>
                <w:sz w:val="20"/>
                <w:szCs w:val="20"/>
              </w:rPr>
            </w:pPr>
          </w:p>
        </w:tc>
      </w:tr>
      <w:tr w:rsidR="003902E0" w:rsidRPr="004D62F6" w14:paraId="26A42116" w14:textId="77777777" w:rsidTr="004D62F6">
        <w:trPr>
          <w:jc w:val="center"/>
        </w:trPr>
        <w:tc>
          <w:tcPr>
            <w:tcW w:w="664" w:type="dxa"/>
            <w:vAlign w:val="center"/>
          </w:tcPr>
          <w:p w14:paraId="07281601"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27E0DA2A"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 xml:space="preserve">System alarmowy generujący dwa rodzaje sygnalizacji alarmowej: alarmy fizjologiczne oraz techniczne. Alarmy klasyfikowane według czterech priorytetów w zależności od stopnia zagrożenia alarmu. Ustawianie granic alarmowych przez użytkownika oraz funkcja automatycznego ustawiania granic alarmowych na podstawie bieżących wartości parametrów. Ustawianie głośności alarmowania (co najmniej 9 poziomów do wyboru). </w:t>
            </w:r>
          </w:p>
        </w:tc>
        <w:tc>
          <w:tcPr>
            <w:tcW w:w="2268" w:type="dxa"/>
            <w:vAlign w:val="center"/>
          </w:tcPr>
          <w:p w14:paraId="781E40C4"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3BA7924B" w14:textId="77777777" w:rsidR="003902E0" w:rsidRPr="004D62F6" w:rsidRDefault="003902E0" w:rsidP="00B74443">
            <w:pPr>
              <w:jc w:val="center"/>
              <w:rPr>
                <w:rFonts w:ascii="Aptos" w:hAnsi="Aptos" w:cstheme="majorHAnsi"/>
                <w:sz w:val="20"/>
                <w:szCs w:val="20"/>
              </w:rPr>
            </w:pPr>
          </w:p>
        </w:tc>
      </w:tr>
      <w:tr w:rsidR="003902E0" w:rsidRPr="004D62F6" w14:paraId="5B85D68E" w14:textId="77777777" w:rsidTr="004D62F6">
        <w:trPr>
          <w:jc w:val="center"/>
        </w:trPr>
        <w:tc>
          <w:tcPr>
            <w:tcW w:w="664" w:type="dxa"/>
            <w:vAlign w:val="center"/>
          </w:tcPr>
          <w:p w14:paraId="01961AAB"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7689C525" w14:textId="77777777" w:rsidR="003902E0" w:rsidRPr="004D62F6" w:rsidRDefault="003902E0" w:rsidP="00B74443">
            <w:pPr>
              <w:jc w:val="both"/>
              <w:rPr>
                <w:rFonts w:ascii="Aptos" w:hAnsi="Aptos" w:cstheme="majorHAnsi"/>
                <w:sz w:val="20"/>
                <w:szCs w:val="20"/>
              </w:rPr>
            </w:pPr>
            <w:r w:rsidRPr="004D62F6">
              <w:rPr>
                <w:rFonts w:ascii="Aptos" w:hAnsi="Aptos" w:cstheme="majorHAnsi"/>
                <w:color w:val="000000"/>
                <w:sz w:val="20"/>
                <w:szCs w:val="20"/>
              </w:rPr>
              <w:t>Funkcja zawieszenia sygnalizacji alarmowej na czas wybrany przez użytkownika (do wyboru co najmniej wstrzymanie alarmów na 1, 2, 5, 10 i 15 minut) oraz możliwość zawieszenia alarmów na stałe (zabezpieczone hasłem).</w:t>
            </w:r>
          </w:p>
        </w:tc>
        <w:tc>
          <w:tcPr>
            <w:tcW w:w="2268" w:type="dxa"/>
            <w:vAlign w:val="center"/>
          </w:tcPr>
          <w:p w14:paraId="1E5D1109" w14:textId="1B6D107C" w:rsidR="004D62F6" w:rsidRPr="004D62F6" w:rsidRDefault="003902E0" w:rsidP="004D62F6">
            <w:pPr>
              <w:jc w:val="center"/>
              <w:rPr>
                <w:rFonts w:ascii="Aptos" w:hAnsi="Aptos" w:cstheme="majorHAnsi"/>
                <w:sz w:val="20"/>
                <w:szCs w:val="20"/>
              </w:rPr>
            </w:pPr>
            <w:r w:rsidRPr="004D62F6">
              <w:rPr>
                <w:rFonts w:ascii="Aptos" w:hAnsi="Aptos" w:cstheme="majorHAnsi"/>
                <w:sz w:val="20"/>
                <w:szCs w:val="20"/>
              </w:rPr>
              <w:t>TAK</w:t>
            </w:r>
          </w:p>
          <w:p w14:paraId="73633732" w14:textId="6E5B3840" w:rsidR="003902E0" w:rsidRPr="004D62F6" w:rsidRDefault="003902E0" w:rsidP="00B74443">
            <w:pPr>
              <w:jc w:val="center"/>
              <w:rPr>
                <w:rFonts w:ascii="Aptos" w:hAnsi="Aptos" w:cstheme="majorHAnsi"/>
                <w:sz w:val="20"/>
                <w:szCs w:val="20"/>
              </w:rPr>
            </w:pPr>
          </w:p>
        </w:tc>
        <w:tc>
          <w:tcPr>
            <w:tcW w:w="4253" w:type="dxa"/>
            <w:vAlign w:val="center"/>
          </w:tcPr>
          <w:p w14:paraId="40496A75" w14:textId="77777777" w:rsidR="003902E0" w:rsidRPr="004D62F6" w:rsidRDefault="003902E0" w:rsidP="00B74443">
            <w:pPr>
              <w:jc w:val="center"/>
              <w:rPr>
                <w:rFonts w:ascii="Aptos" w:hAnsi="Aptos" w:cstheme="majorHAnsi"/>
                <w:sz w:val="20"/>
                <w:szCs w:val="20"/>
              </w:rPr>
            </w:pPr>
          </w:p>
        </w:tc>
      </w:tr>
      <w:tr w:rsidR="003902E0" w:rsidRPr="004D62F6" w14:paraId="303BB892" w14:textId="77777777" w:rsidTr="004D62F6">
        <w:trPr>
          <w:jc w:val="center"/>
        </w:trPr>
        <w:tc>
          <w:tcPr>
            <w:tcW w:w="664" w:type="dxa"/>
            <w:vAlign w:val="center"/>
          </w:tcPr>
          <w:p w14:paraId="3884ED70"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5E95B216" w14:textId="77777777" w:rsidR="003902E0" w:rsidRPr="004D62F6" w:rsidRDefault="003902E0" w:rsidP="00B74443">
            <w:pPr>
              <w:pStyle w:val="Style10"/>
              <w:jc w:val="left"/>
              <w:rPr>
                <w:rFonts w:ascii="Aptos" w:hAnsi="Aptos" w:cstheme="majorHAnsi"/>
                <w:sz w:val="20"/>
                <w:szCs w:val="20"/>
              </w:rPr>
            </w:pPr>
            <w:r w:rsidRPr="004D62F6">
              <w:rPr>
                <w:rFonts w:ascii="Aptos" w:hAnsi="Aptos" w:cstheme="majorHAnsi"/>
                <w:sz w:val="20"/>
                <w:szCs w:val="20"/>
              </w:rPr>
              <w:t xml:space="preserve">W celu ułatwienia identyfikacji alarmującego monitora możliwość ustawienia oddzielnego wzorca dźwiękowego sygnalizacji alarmowej. </w:t>
            </w:r>
          </w:p>
          <w:p w14:paraId="2FDDCC03"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Co najmniej 3 wzorce do wyboru.</w:t>
            </w:r>
          </w:p>
        </w:tc>
        <w:tc>
          <w:tcPr>
            <w:tcW w:w="2268" w:type="dxa"/>
            <w:vAlign w:val="center"/>
          </w:tcPr>
          <w:p w14:paraId="6AE856A5"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6E50E3B0" w14:textId="77777777" w:rsidR="003902E0" w:rsidRPr="004D62F6" w:rsidRDefault="003902E0" w:rsidP="00B74443">
            <w:pPr>
              <w:jc w:val="center"/>
              <w:rPr>
                <w:rFonts w:ascii="Aptos" w:hAnsi="Aptos" w:cstheme="majorHAnsi"/>
                <w:sz w:val="20"/>
                <w:szCs w:val="20"/>
              </w:rPr>
            </w:pPr>
          </w:p>
        </w:tc>
      </w:tr>
      <w:tr w:rsidR="003902E0" w:rsidRPr="004D62F6" w14:paraId="1C18EF0F" w14:textId="77777777" w:rsidTr="004D62F6">
        <w:trPr>
          <w:jc w:val="center"/>
        </w:trPr>
        <w:tc>
          <w:tcPr>
            <w:tcW w:w="664" w:type="dxa"/>
            <w:vAlign w:val="center"/>
          </w:tcPr>
          <w:p w14:paraId="7E248696"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5A4C289E" w14:textId="77777777" w:rsidR="003902E0" w:rsidRPr="004D62F6" w:rsidRDefault="003902E0" w:rsidP="00B74443">
            <w:pPr>
              <w:jc w:val="both"/>
              <w:rPr>
                <w:rFonts w:ascii="Aptos" w:hAnsi="Aptos" w:cstheme="majorHAnsi"/>
                <w:sz w:val="20"/>
                <w:szCs w:val="20"/>
              </w:rPr>
            </w:pPr>
            <w:r w:rsidRPr="004D62F6">
              <w:rPr>
                <w:rFonts w:ascii="Aptos" w:hAnsi="Aptos" w:cstheme="majorHAnsi"/>
                <w:b/>
                <w:sz w:val="20"/>
                <w:szCs w:val="20"/>
              </w:rPr>
              <w:t>EKG</w:t>
            </w:r>
            <w:r w:rsidRPr="004D62F6">
              <w:rPr>
                <w:rFonts w:ascii="Aptos" w:hAnsi="Aptos" w:cstheme="majorHAnsi"/>
                <w:sz w:val="20"/>
                <w:szCs w:val="20"/>
              </w:rPr>
              <w:t xml:space="preserve"> - pomiar częstości akcji serca. Zakres minimum 10 - 300/min. Ustawianie prędkości przesuwu krzywej EKG do wyboru co najmniej: 6.25; 12.5; 25; 50 mm/s. Ustawianie wzmocnienia krzywej EKG do wyboru co najmniej: x0.125; x0.25; 0.5; x1; x2; x4; auto. W komplecie z monitorem przewód EKG z kompletem 5 końcówek.</w:t>
            </w:r>
          </w:p>
        </w:tc>
        <w:tc>
          <w:tcPr>
            <w:tcW w:w="2268" w:type="dxa"/>
            <w:vAlign w:val="center"/>
          </w:tcPr>
          <w:p w14:paraId="36BF269E"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p w14:paraId="5E39407B" w14:textId="77777777" w:rsidR="003902E0" w:rsidRPr="004D62F6" w:rsidRDefault="003902E0" w:rsidP="00B74443">
            <w:pPr>
              <w:jc w:val="center"/>
              <w:rPr>
                <w:rFonts w:ascii="Aptos" w:hAnsi="Aptos" w:cstheme="majorHAnsi"/>
                <w:sz w:val="20"/>
                <w:szCs w:val="20"/>
              </w:rPr>
            </w:pPr>
          </w:p>
        </w:tc>
        <w:tc>
          <w:tcPr>
            <w:tcW w:w="4253" w:type="dxa"/>
            <w:vAlign w:val="center"/>
          </w:tcPr>
          <w:p w14:paraId="556B9AA7" w14:textId="77777777" w:rsidR="003902E0" w:rsidRPr="004D62F6" w:rsidRDefault="003902E0" w:rsidP="00B74443">
            <w:pPr>
              <w:jc w:val="center"/>
              <w:rPr>
                <w:rFonts w:ascii="Aptos" w:hAnsi="Aptos" w:cstheme="majorHAnsi"/>
                <w:sz w:val="20"/>
                <w:szCs w:val="20"/>
              </w:rPr>
            </w:pPr>
          </w:p>
        </w:tc>
      </w:tr>
      <w:tr w:rsidR="003902E0" w:rsidRPr="004D62F6" w14:paraId="26FB9BAE" w14:textId="77777777" w:rsidTr="004D62F6">
        <w:trPr>
          <w:jc w:val="center"/>
        </w:trPr>
        <w:tc>
          <w:tcPr>
            <w:tcW w:w="664" w:type="dxa"/>
            <w:vAlign w:val="center"/>
          </w:tcPr>
          <w:p w14:paraId="0397C5A1"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70856749"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Analiza arytmii – wykrywanie co najmniej 27 kategorii zaburzeń rytmu w tym VF, ASYS, BRADY, TACHY, AF (we wszystkich monitorach).</w:t>
            </w:r>
          </w:p>
        </w:tc>
        <w:tc>
          <w:tcPr>
            <w:tcW w:w="2268" w:type="dxa"/>
            <w:vAlign w:val="center"/>
          </w:tcPr>
          <w:p w14:paraId="48D84565"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p w14:paraId="2BEB007F" w14:textId="77777777" w:rsidR="003902E0" w:rsidRPr="004D62F6" w:rsidRDefault="003902E0" w:rsidP="00B74443">
            <w:pPr>
              <w:jc w:val="center"/>
              <w:rPr>
                <w:rFonts w:ascii="Aptos" w:hAnsi="Aptos" w:cstheme="majorHAnsi"/>
                <w:sz w:val="20"/>
                <w:szCs w:val="20"/>
              </w:rPr>
            </w:pPr>
          </w:p>
        </w:tc>
        <w:tc>
          <w:tcPr>
            <w:tcW w:w="4253" w:type="dxa"/>
            <w:vAlign w:val="center"/>
          </w:tcPr>
          <w:p w14:paraId="717EC294" w14:textId="77777777" w:rsidR="003902E0" w:rsidRPr="004D62F6" w:rsidRDefault="003902E0" w:rsidP="00B74443">
            <w:pPr>
              <w:jc w:val="center"/>
              <w:rPr>
                <w:rFonts w:ascii="Aptos" w:hAnsi="Aptos" w:cstheme="majorHAnsi"/>
                <w:sz w:val="20"/>
                <w:szCs w:val="20"/>
              </w:rPr>
            </w:pPr>
          </w:p>
        </w:tc>
      </w:tr>
      <w:tr w:rsidR="003902E0" w:rsidRPr="004D62F6" w14:paraId="45D3190A" w14:textId="77777777" w:rsidTr="004D62F6">
        <w:trPr>
          <w:jc w:val="center"/>
        </w:trPr>
        <w:tc>
          <w:tcPr>
            <w:tcW w:w="664" w:type="dxa"/>
            <w:vAlign w:val="center"/>
          </w:tcPr>
          <w:p w14:paraId="1D903C0D"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415C9065"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Monitor wyposażony w funkcję analizującą jednocześnie sygnał EKG oraz sygnał krzywej pletyzmograficznej w celu uzyskania dokładniejszych wyników analizy arytmii i pomiarów częstości tętna</w:t>
            </w:r>
          </w:p>
        </w:tc>
        <w:tc>
          <w:tcPr>
            <w:tcW w:w="2268" w:type="dxa"/>
            <w:vAlign w:val="center"/>
          </w:tcPr>
          <w:p w14:paraId="171C4C15"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p w14:paraId="339F8FDB" w14:textId="77777777" w:rsidR="003902E0" w:rsidRPr="004D62F6" w:rsidRDefault="003902E0" w:rsidP="00B74443">
            <w:pPr>
              <w:jc w:val="center"/>
              <w:rPr>
                <w:rFonts w:ascii="Aptos" w:hAnsi="Aptos" w:cstheme="majorHAnsi"/>
                <w:sz w:val="20"/>
                <w:szCs w:val="20"/>
              </w:rPr>
            </w:pPr>
          </w:p>
        </w:tc>
        <w:tc>
          <w:tcPr>
            <w:tcW w:w="4253" w:type="dxa"/>
            <w:vAlign w:val="center"/>
          </w:tcPr>
          <w:p w14:paraId="0B5E9051" w14:textId="77777777" w:rsidR="003902E0" w:rsidRPr="004D62F6" w:rsidRDefault="003902E0" w:rsidP="00B74443">
            <w:pPr>
              <w:jc w:val="center"/>
              <w:rPr>
                <w:rFonts w:ascii="Aptos" w:hAnsi="Aptos" w:cstheme="majorHAnsi"/>
                <w:sz w:val="20"/>
                <w:szCs w:val="20"/>
              </w:rPr>
            </w:pPr>
          </w:p>
        </w:tc>
      </w:tr>
      <w:tr w:rsidR="003902E0" w:rsidRPr="004D62F6" w14:paraId="6511A83A" w14:textId="77777777" w:rsidTr="004D62F6">
        <w:trPr>
          <w:jc w:val="center"/>
        </w:trPr>
        <w:tc>
          <w:tcPr>
            <w:tcW w:w="664" w:type="dxa"/>
            <w:vAlign w:val="center"/>
          </w:tcPr>
          <w:p w14:paraId="4E747584"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64CD1D78"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Funkcja analizy zmian częstości akcji serca z ostatnich 24 godzin informacje o wartościach HR, ST, QT i arytmii: statystyka dot. częstości akcji serca, statystyka zdarzeń arytmii, statystyka pomiarów QT/QTc, statystyka maksymalnych i minimalnych wartości odcinka ST dla poszczególnych odprowadzeń, statystyka dot. danych stymulatora.</w:t>
            </w:r>
          </w:p>
        </w:tc>
        <w:tc>
          <w:tcPr>
            <w:tcW w:w="2268" w:type="dxa"/>
            <w:vAlign w:val="center"/>
          </w:tcPr>
          <w:p w14:paraId="2BF0809A"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p w14:paraId="44825F06" w14:textId="77777777" w:rsidR="003902E0" w:rsidRPr="004D62F6" w:rsidRDefault="003902E0" w:rsidP="00B74443">
            <w:pPr>
              <w:jc w:val="center"/>
              <w:rPr>
                <w:rFonts w:ascii="Aptos" w:hAnsi="Aptos" w:cstheme="majorHAnsi"/>
                <w:sz w:val="20"/>
                <w:szCs w:val="20"/>
              </w:rPr>
            </w:pPr>
          </w:p>
        </w:tc>
        <w:tc>
          <w:tcPr>
            <w:tcW w:w="4253" w:type="dxa"/>
            <w:vAlign w:val="center"/>
          </w:tcPr>
          <w:p w14:paraId="5884432B" w14:textId="77777777" w:rsidR="003902E0" w:rsidRPr="004D62F6" w:rsidRDefault="003902E0" w:rsidP="00B74443">
            <w:pPr>
              <w:jc w:val="center"/>
              <w:rPr>
                <w:rFonts w:ascii="Aptos" w:hAnsi="Aptos" w:cstheme="majorHAnsi"/>
                <w:sz w:val="20"/>
                <w:szCs w:val="20"/>
              </w:rPr>
            </w:pPr>
          </w:p>
        </w:tc>
      </w:tr>
      <w:tr w:rsidR="003902E0" w:rsidRPr="004D62F6" w14:paraId="6780F7D2" w14:textId="77777777" w:rsidTr="004D62F6">
        <w:trPr>
          <w:jc w:val="center"/>
        </w:trPr>
        <w:tc>
          <w:tcPr>
            <w:tcW w:w="664" w:type="dxa"/>
            <w:vAlign w:val="center"/>
          </w:tcPr>
          <w:p w14:paraId="716FB094"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64D6131A"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Analiza odcinka ST – jednoczesny pomiar odchylenia odcinka ST w siedmiu odprowadzeniach w zakresie co najmniej od -2,5 do +2,5 mV. Prezentacja zmian odchylenia ST w postaci wzorcowych odcinków ST z nanoszonymi na nie bieżącymi odcinkami.  Tryb alarmowania ST w oparciu wartości bezwzględne oraz względne w stosunku do linii odniesienia. Możliwość ustawienia granic alarmowych dla pojedynczego ST oraz dla dwóch ST.</w:t>
            </w:r>
          </w:p>
        </w:tc>
        <w:tc>
          <w:tcPr>
            <w:tcW w:w="2268" w:type="dxa"/>
            <w:vAlign w:val="center"/>
          </w:tcPr>
          <w:p w14:paraId="03A7B7AC"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543DF230" w14:textId="77777777" w:rsidR="003902E0" w:rsidRPr="004D62F6" w:rsidRDefault="003902E0" w:rsidP="00B74443">
            <w:pPr>
              <w:jc w:val="center"/>
              <w:rPr>
                <w:rFonts w:ascii="Aptos" w:hAnsi="Aptos" w:cstheme="majorHAnsi"/>
                <w:sz w:val="20"/>
                <w:szCs w:val="20"/>
              </w:rPr>
            </w:pPr>
          </w:p>
        </w:tc>
      </w:tr>
      <w:tr w:rsidR="003902E0" w:rsidRPr="004D62F6" w14:paraId="6959316E" w14:textId="77777777" w:rsidTr="004D62F6">
        <w:trPr>
          <w:jc w:val="center"/>
        </w:trPr>
        <w:tc>
          <w:tcPr>
            <w:tcW w:w="664" w:type="dxa"/>
            <w:vAlign w:val="center"/>
          </w:tcPr>
          <w:p w14:paraId="59B03211"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577D9CE7"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Analiza zmian odcinka QT oraz obliczanie wartości QTc wg. co najmniej 4 wzorów.</w:t>
            </w:r>
          </w:p>
        </w:tc>
        <w:tc>
          <w:tcPr>
            <w:tcW w:w="2268" w:type="dxa"/>
            <w:vAlign w:val="center"/>
          </w:tcPr>
          <w:p w14:paraId="08F924E2" w14:textId="578BD356" w:rsidR="004D62F6" w:rsidRPr="004D62F6" w:rsidRDefault="003902E0" w:rsidP="004D62F6">
            <w:pPr>
              <w:jc w:val="center"/>
              <w:rPr>
                <w:rFonts w:ascii="Aptos" w:hAnsi="Aptos" w:cstheme="majorHAnsi"/>
                <w:sz w:val="20"/>
                <w:szCs w:val="20"/>
              </w:rPr>
            </w:pPr>
            <w:r w:rsidRPr="004D62F6">
              <w:rPr>
                <w:rFonts w:ascii="Aptos" w:hAnsi="Aptos" w:cstheme="majorHAnsi"/>
                <w:sz w:val="20"/>
                <w:szCs w:val="20"/>
              </w:rPr>
              <w:t>TAK</w:t>
            </w:r>
          </w:p>
          <w:p w14:paraId="5908B935" w14:textId="421E1E84" w:rsidR="003902E0" w:rsidRPr="004D62F6" w:rsidRDefault="003902E0" w:rsidP="00B74443">
            <w:pPr>
              <w:jc w:val="center"/>
              <w:rPr>
                <w:rFonts w:ascii="Aptos" w:hAnsi="Aptos" w:cstheme="majorHAnsi"/>
                <w:sz w:val="20"/>
                <w:szCs w:val="20"/>
              </w:rPr>
            </w:pPr>
          </w:p>
        </w:tc>
        <w:tc>
          <w:tcPr>
            <w:tcW w:w="4253" w:type="dxa"/>
            <w:vAlign w:val="center"/>
          </w:tcPr>
          <w:p w14:paraId="3EB60E8E" w14:textId="77777777" w:rsidR="003902E0" w:rsidRPr="004D62F6" w:rsidRDefault="003902E0" w:rsidP="00B74443">
            <w:pPr>
              <w:jc w:val="center"/>
              <w:rPr>
                <w:rFonts w:ascii="Aptos" w:hAnsi="Aptos" w:cstheme="majorHAnsi"/>
                <w:sz w:val="20"/>
                <w:szCs w:val="20"/>
              </w:rPr>
            </w:pPr>
          </w:p>
        </w:tc>
      </w:tr>
      <w:tr w:rsidR="003902E0" w:rsidRPr="004D62F6" w14:paraId="22C96867" w14:textId="77777777" w:rsidTr="004D62F6">
        <w:trPr>
          <w:jc w:val="center"/>
        </w:trPr>
        <w:tc>
          <w:tcPr>
            <w:tcW w:w="664" w:type="dxa"/>
            <w:vAlign w:val="center"/>
          </w:tcPr>
          <w:p w14:paraId="1DCA2C9E"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701E7333" w14:textId="77777777" w:rsidR="003902E0" w:rsidRPr="004D62F6" w:rsidRDefault="003902E0" w:rsidP="00B74443">
            <w:pPr>
              <w:jc w:val="both"/>
              <w:rPr>
                <w:rFonts w:ascii="Aptos" w:hAnsi="Aptos" w:cstheme="majorHAnsi"/>
                <w:sz w:val="20"/>
                <w:szCs w:val="20"/>
              </w:rPr>
            </w:pPr>
            <w:r w:rsidRPr="004D62F6">
              <w:rPr>
                <w:rFonts w:ascii="Aptos" w:hAnsi="Aptos" w:cstheme="majorHAnsi"/>
                <w:b/>
                <w:sz w:val="20"/>
                <w:szCs w:val="20"/>
              </w:rPr>
              <w:t>RESP</w:t>
            </w:r>
            <w:r w:rsidRPr="004D62F6">
              <w:rPr>
                <w:rFonts w:ascii="Aptos" w:hAnsi="Aptos" w:cstheme="majorHAnsi"/>
                <w:sz w:val="20"/>
                <w:szCs w:val="20"/>
              </w:rPr>
              <w:t xml:space="preserve"> – pomiar częstości oddechu metodą impedancyjną. Zakres pomiarowy częstości oddechu co najmniej od 0 do 200 R/min. Możliwość wyboru odprowadzeni do monitorowania respiracji. Wybór prędkości przesuwu krzywych co najmniej: 3; 6.25; 12,5; 25; 50 mm/s.</w:t>
            </w:r>
          </w:p>
        </w:tc>
        <w:tc>
          <w:tcPr>
            <w:tcW w:w="2268" w:type="dxa"/>
            <w:vAlign w:val="center"/>
          </w:tcPr>
          <w:p w14:paraId="5B366882"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51541C2A" w14:textId="77777777" w:rsidR="003902E0" w:rsidRPr="004D62F6" w:rsidRDefault="003902E0" w:rsidP="00B74443">
            <w:pPr>
              <w:jc w:val="center"/>
              <w:rPr>
                <w:rFonts w:ascii="Aptos" w:hAnsi="Aptos" w:cstheme="majorHAnsi"/>
                <w:sz w:val="20"/>
                <w:szCs w:val="20"/>
              </w:rPr>
            </w:pPr>
          </w:p>
        </w:tc>
      </w:tr>
      <w:tr w:rsidR="003902E0" w:rsidRPr="004D62F6" w14:paraId="5583AD0D" w14:textId="77777777" w:rsidTr="004D62F6">
        <w:trPr>
          <w:jc w:val="center"/>
        </w:trPr>
        <w:tc>
          <w:tcPr>
            <w:tcW w:w="664" w:type="dxa"/>
            <w:vAlign w:val="center"/>
          </w:tcPr>
          <w:p w14:paraId="23B6F589"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3CF65280" w14:textId="347C9F48"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Saturacja (</w:t>
            </w:r>
            <w:r w:rsidRPr="004D62F6">
              <w:rPr>
                <w:rFonts w:ascii="Aptos" w:hAnsi="Aptos" w:cstheme="majorHAnsi"/>
                <w:b/>
                <w:sz w:val="20"/>
                <w:szCs w:val="20"/>
              </w:rPr>
              <w:t>SpO</w:t>
            </w:r>
            <w:r w:rsidRPr="004D62F6">
              <w:rPr>
                <w:rFonts w:ascii="Aptos" w:hAnsi="Aptos" w:cstheme="majorHAnsi"/>
                <w:b/>
                <w:sz w:val="20"/>
                <w:szCs w:val="20"/>
                <w:vertAlign w:val="subscript"/>
              </w:rPr>
              <w:t>2</w:t>
            </w:r>
            <w:r w:rsidRPr="004D62F6">
              <w:rPr>
                <w:rFonts w:ascii="Aptos" w:hAnsi="Aptos" w:cstheme="majorHAnsi"/>
                <w:sz w:val="20"/>
                <w:szCs w:val="20"/>
              </w:rPr>
              <w:t xml:space="preserve">). Zakres pomiarowy %SpO2 0-100%. Zakres pomiarowy częstości pulsu co najmniej 20-300 P/min. Jednoczesne wyświetlanie krzywej pletyzmograficznej oraz wartości % saturacji, częstości pulsu i wskaźnika perfuzji. Alarm desaturacji. W komplecie z </w:t>
            </w:r>
            <w:r w:rsidR="00F73814" w:rsidRPr="004D62F6">
              <w:rPr>
                <w:rFonts w:ascii="Aptos" w:hAnsi="Aptos" w:cstheme="majorHAnsi"/>
                <w:sz w:val="20"/>
                <w:szCs w:val="20"/>
              </w:rPr>
              <w:t>monitorem przewód</w:t>
            </w:r>
            <w:r w:rsidRPr="004D62F6">
              <w:rPr>
                <w:rFonts w:ascii="Aptos" w:hAnsi="Aptos" w:cstheme="majorHAnsi"/>
                <w:sz w:val="20"/>
                <w:szCs w:val="20"/>
              </w:rPr>
              <w:t xml:space="preserve"> interfejsowy oraz czujnik SpO2 na palec.</w:t>
            </w:r>
          </w:p>
        </w:tc>
        <w:tc>
          <w:tcPr>
            <w:tcW w:w="2268" w:type="dxa"/>
            <w:vAlign w:val="center"/>
          </w:tcPr>
          <w:p w14:paraId="50C7C826"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1B5636DE" w14:textId="77777777" w:rsidR="003902E0" w:rsidRPr="004D62F6" w:rsidRDefault="003902E0" w:rsidP="00B74443">
            <w:pPr>
              <w:jc w:val="center"/>
              <w:rPr>
                <w:rFonts w:ascii="Aptos" w:hAnsi="Aptos" w:cstheme="majorHAnsi"/>
                <w:sz w:val="20"/>
                <w:szCs w:val="20"/>
              </w:rPr>
            </w:pPr>
          </w:p>
        </w:tc>
      </w:tr>
      <w:tr w:rsidR="003902E0" w:rsidRPr="004D62F6" w14:paraId="5E696A13" w14:textId="77777777" w:rsidTr="004D62F6">
        <w:trPr>
          <w:jc w:val="center"/>
        </w:trPr>
        <w:tc>
          <w:tcPr>
            <w:tcW w:w="664" w:type="dxa"/>
            <w:vAlign w:val="center"/>
          </w:tcPr>
          <w:p w14:paraId="3792B3B9"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12059E8B"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 xml:space="preserve">Nieinwazyjny pomiar ciśnienia </w:t>
            </w:r>
            <w:r w:rsidRPr="004D62F6">
              <w:rPr>
                <w:rFonts w:ascii="Aptos" w:hAnsi="Aptos" w:cstheme="majorHAnsi"/>
                <w:b/>
                <w:bCs/>
                <w:sz w:val="20"/>
                <w:szCs w:val="20"/>
              </w:rPr>
              <w:t>(NIPC)</w:t>
            </w:r>
            <w:r w:rsidRPr="004D62F6">
              <w:rPr>
                <w:rFonts w:ascii="Aptos" w:hAnsi="Aptos" w:cstheme="majorHAnsi"/>
                <w:sz w:val="20"/>
                <w:szCs w:val="20"/>
              </w:rPr>
              <w:t xml:space="preserve"> metoda oscylometryczna. Zakres pomiarowy ciśnienia skurczowego co najmniej od 30 do 290 mmHg. Pomiar ręczny, automatyczny i ciągły. Pomiar automatyczny z regulowanym interwałem co najmniej 1–480 minut. Pomiar sekwencyjny składający się z co najmniej 4 faz, z indywidualnym ustawianiem czasu trwania oraz interwału dla każdej fazy. Prezentacja wartości: skurczowej, rozkurczowej oraz średniej. Funkcja stazy. Funkcja wstępnego ustawiania ciśnienia pompowania mankietu. Możliwość pomiaru ciśnienia metodą nieinwazyjną na tej samej kończynie co pomiar SpO2 bez wywoływania alarmu SpO2. Pomiar częstości pulsu wraz z nieinwazyjnym ciśnieniem co najmniej w zakresie od 30 do 300 P/min. W komplecie z monitorem przewód oraz mankiet w rozmiarze średnim oraz dużym.</w:t>
            </w:r>
          </w:p>
        </w:tc>
        <w:tc>
          <w:tcPr>
            <w:tcW w:w="2268" w:type="dxa"/>
            <w:vAlign w:val="center"/>
          </w:tcPr>
          <w:p w14:paraId="7CA00845"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226A2DBD" w14:textId="77777777" w:rsidR="003902E0" w:rsidRPr="004D62F6" w:rsidRDefault="003902E0" w:rsidP="00B74443">
            <w:pPr>
              <w:jc w:val="center"/>
              <w:rPr>
                <w:rFonts w:ascii="Aptos" w:hAnsi="Aptos" w:cstheme="majorHAnsi"/>
                <w:sz w:val="20"/>
                <w:szCs w:val="20"/>
              </w:rPr>
            </w:pPr>
          </w:p>
        </w:tc>
      </w:tr>
      <w:tr w:rsidR="003902E0" w:rsidRPr="004D62F6" w14:paraId="7DE2E4D2" w14:textId="77777777" w:rsidTr="004D62F6">
        <w:trPr>
          <w:jc w:val="center"/>
        </w:trPr>
        <w:tc>
          <w:tcPr>
            <w:tcW w:w="664" w:type="dxa"/>
            <w:vAlign w:val="center"/>
          </w:tcPr>
          <w:p w14:paraId="0D174082"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50127A64" w14:textId="4C739F1A"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Pomiar temperatury, dwa tory pomiarowe. Zakres pomiarowy co najmniej od 0 do 50</w:t>
            </w:r>
            <w:r w:rsidRPr="004D62F6">
              <w:rPr>
                <w:rFonts w:ascii="Aptos" w:hAnsi="Aptos" w:cstheme="majorHAnsi"/>
                <w:sz w:val="20"/>
                <w:szCs w:val="20"/>
                <w:vertAlign w:val="superscript"/>
              </w:rPr>
              <w:t>o</w:t>
            </w:r>
            <w:r w:rsidRPr="004D62F6">
              <w:rPr>
                <w:rFonts w:ascii="Aptos" w:hAnsi="Aptos" w:cstheme="majorHAnsi"/>
                <w:sz w:val="20"/>
                <w:szCs w:val="20"/>
              </w:rPr>
              <w:t xml:space="preserve">C. Wyświetlanie </w:t>
            </w:r>
            <w:r w:rsidRPr="004D62F6">
              <w:rPr>
                <w:rFonts w:ascii="Aptos" w:hAnsi="Aptos" w:cstheme="majorHAnsi"/>
                <w:b/>
                <w:bCs/>
                <w:sz w:val="20"/>
                <w:szCs w:val="20"/>
              </w:rPr>
              <w:t>T1, T2</w:t>
            </w:r>
            <w:r w:rsidRPr="004D62F6">
              <w:rPr>
                <w:rFonts w:ascii="Aptos" w:hAnsi="Aptos" w:cstheme="majorHAnsi"/>
                <w:sz w:val="20"/>
                <w:szCs w:val="20"/>
              </w:rPr>
              <w:t xml:space="preserve"> oraz różnicy między nimi. Wybór </w:t>
            </w:r>
            <w:r w:rsidR="00F73814" w:rsidRPr="004D62F6">
              <w:rPr>
                <w:rFonts w:ascii="Aptos" w:hAnsi="Aptos" w:cstheme="majorHAnsi"/>
                <w:sz w:val="20"/>
                <w:szCs w:val="20"/>
              </w:rPr>
              <w:t>etykiety temperatury</w:t>
            </w:r>
            <w:r w:rsidRPr="004D62F6">
              <w:rPr>
                <w:rFonts w:ascii="Aptos" w:hAnsi="Aptos" w:cstheme="majorHAnsi"/>
                <w:sz w:val="20"/>
                <w:szCs w:val="20"/>
              </w:rPr>
              <w:t xml:space="preserve"> zgodnie z miejscem pomiaru z listy co najmniej 10 etykiet zapisanych w pamięci monitora. </w:t>
            </w:r>
          </w:p>
        </w:tc>
        <w:tc>
          <w:tcPr>
            <w:tcW w:w="2268" w:type="dxa"/>
            <w:vAlign w:val="center"/>
          </w:tcPr>
          <w:p w14:paraId="6FEE2CE3"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1F3CE326" w14:textId="77777777" w:rsidR="003902E0" w:rsidRPr="004D62F6" w:rsidRDefault="003902E0" w:rsidP="00B74443">
            <w:pPr>
              <w:jc w:val="center"/>
              <w:rPr>
                <w:rFonts w:ascii="Aptos" w:hAnsi="Aptos" w:cstheme="majorHAnsi"/>
                <w:sz w:val="20"/>
                <w:szCs w:val="20"/>
              </w:rPr>
            </w:pPr>
          </w:p>
        </w:tc>
      </w:tr>
      <w:tr w:rsidR="003902E0" w:rsidRPr="004D62F6" w14:paraId="40A08F12" w14:textId="77777777" w:rsidTr="004D62F6">
        <w:trPr>
          <w:jc w:val="center"/>
        </w:trPr>
        <w:tc>
          <w:tcPr>
            <w:tcW w:w="664" w:type="dxa"/>
            <w:vAlign w:val="center"/>
          </w:tcPr>
          <w:p w14:paraId="04713917"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06A7D0F2" w14:textId="726128CA"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 xml:space="preserve">Przynajmniej 120-godzinne trendy wszystkich mierzonych parametrów, w postaci tabel i </w:t>
            </w:r>
            <w:r w:rsidR="00F73814" w:rsidRPr="004D62F6">
              <w:rPr>
                <w:rFonts w:ascii="Aptos" w:hAnsi="Aptos" w:cstheme="majorHAnsi"/>
                <w:sz w:val="20"/>
                <w:szCs w:val="20"/>
              </w:rPr>
              <w:t>wykresów z</w:t>
            </w:r>
            <w:r w:rsidRPr="004D62F6">
              <w:rPr>
                <w:rFonts w:ascii="Aptos" w:hAnsi="Aptos" w:cstheme="majorHAnsi"/>
                <w:sz w:val="20"/>
                <w:szCs w:val="20"/>
              </w:rPr>
              <w:t xml:space="preserve"> rozdzielczością od 1 minuty.</w:t>
            </w:r>
          </w:p>
        </w:tc>
        <w:tc>
          <w:tcPr>
            <w:tcW w:w="2268" w:type="dxa"/>
            <w:vAlign w:val="center"/>
          </w:tcPr>
          <w:p w14:paraId="6F07801F"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0DCB058C" w14:textId="77777777" w:rsidR="003902E0" w:rsidRPr="004D62F6" w:rsidRDefault="003902E0" w:rsidP="00B74443">
            <w:pPr>
              <w:jc w:val="center"/>
              <w:rPr>
                <w:rFonts w:ascii="Aptos" w:hAnsi="Aptos" w:cstheme="majorHAnsi"/>
                <w:sz w:val="20"/>
                <w:szCs w:val="20"/>
              </w:rPr>
            </w:pPr>
          </w:p>
        </w:tc>
      </w:tr>
      <w:tr w:rsidR="003902E0" w:rsidRPr="004D62F6" w14:paraId="55CBE1F9" w14:textId="77777777" w:rsidTr="004D62F6">
        <w:trPr>
          <w:jc w:val="center"/>
        </w:trPr>
        <w:tc>
          <w:tcPr>
            <w:tcW w:w="664" w:type="dxa"/>
            <w:vAlign w:val="center"/>
          </w:tcPr>
          <w:p w14:paraId="6A9D7CC1"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36C7E270"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Zapamiętywanie krzywych dynamicznych w czasie rzeczywistym (funkcja full dislosure) – pamięć co najmniej 24 godzin.</w:t>
            </w:r>
          </w:p>
        </w:tc>
        <w:tc>
          <w:tcPr>
            <w:tcW w:w="2268" w:type="dxa"/>
            <w:vAlign w:val="center"/>
          </w:tcPr>
          <w:p w14:paraId="2D46B2DD"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0C488967" w14:textId="77777777" w:rsidR="003902E0" w:rsidRPr="004D62F6" w:rsidRDefault="003902E0" w:rsidP="00B74443">
            <w:pPr>
              <w:jc w:val="center"/>
              <w:rPr>
                <w:rFonts w:ascii="Aptos" w:hAnsi="Aptos" w:cstheme="majorHAnsi"/>
                <w:sz w:val="20"/>
                <w:szCs w:val="20"/>
              </w:rPr>
            </w:pPr>
          </w:p>
        </w:tc>
      </w:tr>
      <w:tr w:rsidR="003902E0" w:rsidRPr="004D62F6" w14:paraId="74852A66" w14:textId="77777777" w:rsidTr="004D62F6">
        <w:trPr>
          <w:jc w:val="center"/>
        </w:trPr>
        <w:tc>
          <w:tcPr>
            <w:tcW w:w="664" w:type="dxa"/>
            <w:vAlign w:val="center"/>
          </w:tcPr>
          <w:p w14:paraId="09A8F815"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32420350"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Zapamiętywanie co najmniej 1000 zdarzeń alarmowych (krzywe i odpowiadające im wartości parametrów).</w:t>
            </w:r>
          </w:p>
        </w:tc>
        <w:tc>
          <w:tcPr>
            <w:tcW w:w="2268" w:type="dxa"/>
            <w:vAlign w:val="center"/>
          </w:tcPr>
          <w:p w14:paraId="2985EB0E"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11974D82" w14:textId="77777777" w:rsidR="003902E0" w:rsidRPr="004D62F6" w:rsidRDefault="003902E0" w:rsidP="00B74443">
            <w:pPr>
              <w:jc w:val="center"/>
              <w:rPr>
                <w:rFonts w:ascii="Aptos" w:hAnsi="Aptos" w:cstheme="majorHAnsi"/>
                <w:sz w:val="20"/>
                <w:szCs w:val="20"/>
              </w:rPr>
            </w:pPr>
          </w:p>
        </w:tc>
      </w:tr>
      <w:tr w:rsidR="003902E0" w:rsidRPr="004D62F6" w14:paraId="6B1BEFAE" w14:textId="77777777" w:rsidTr="004D62F6">
        <w:trPr>
          <w:jc w:val="center"/>
        </w:trPr>
        <w:tc>
          <w:tcPr>
            <w:tcW w:w="664" w:type="dxa"/>
            <w:vAlign w:val="center"/>
          </w:tcPr>
          <w:p w14:paraId="33B87168"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45E3816A"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Możliwość wyposażenia kardiomonitora w wbudowany rejestrator termiczny</w:t>
            </w:r>
          </w:p>
        </w:tc>
        <w:tc>
          <w:tcPr>
            <w:tcW w:w="2268" w:type="dxa"/>
            <w:vAlign w:val="center"/>
          </w:tcPr>
          <w:p w14:paraId="43E8A928"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4FAE41B7" w14:textId="77777777" w:rsidR="003902E0" w:rsidRPr="004D62F6" w:rsidRDefault="003902E0" w:rsidP="00B74443">
            <w:pPr>
              <w:jc w:val="center"/>
              <w:rPr>
                <w:rFonts w:ascii="Aptos" w:hAnsi="Aptos" w:cstheme="majorHAnsi"/>
                <w:sz w:val="20"/>
                <w:szCs w:val="20"/>
              </w:rPr>
            </w:pPr>
          </w:p>
        </w:tc>
      </w:tr>
      <w:tr w:rsidR="003902E0" w:rsidRPr="004D62F6" w14:paraId="020F0FB0" w14:textId="77777777" w:rsidTr="004D62F6">
        <w:trPr>
          <w:jc w:val="center"/>
        </w:trPr>
        <w:tc>
          <w:tcPr>
            <w:tcW w:w="664" w:type="dxa"/>
            <w:vAlign w:val="center"/>
          </w:tcPr>
          <w:p w14:paraId="29C6DD20"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4D1DD24A"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Monitor wyposażony w funkcje obliczeń dawki (lekowych), hemodynamicznych,  natlenienia, nerkowych i wentylacji.</w:t>
            </w:r>
          </w:p>
        </w:tc>
        <w:tc>
          <w:tcPr>
            <w:tcW w:w="2268" w:type="dxa"/>
            <w:vAlign w:val="center"/>
          </w:tcPr>
          <w:p w14:paraId="0C194D88"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41C01C6B" w14:textId="77777777" w:rsidR="003902E0" w:rsidRPr="004D62F6" w:rsidRDefault="003902E0" w:rsidP="00B74443">
            <w:pPr>
              <w:jc w:val="center"/>
              <w:rPr>
                <w:rFonts w:ascii="Aptos" w:hAnsi="Aptos" w:cstheme="majorHAnsi"/>
                <w:sz w:val="20"/>
                <w:szCs w:val="20"/>
              </w:rPr>
            </w:pPr>
          </w:p>
        </w:tc>
      </w:tr>
      <w:tr w:rsidR="003902E0" w:rsidRPr="004D62F6" w14:paraId="7C622838" w14:textId="77777777" w:rsidTr="004D62F6">
        <w:trPr>
          <w:jc w:val="center"/>
        </w:trPr>
        <w:tc>
          <w:tcPr>
            <w:tcW w:w="664" w:type="dxa"/>
            <w:vAlign w:val="center"/>
          </w:tcPr>
          <w:p w14:paraId="16D98C1C"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32E0D85B"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Monitor wyposażony w funkcję wprowadzania danych i obliczania punktacji wczesnego ostrzegania EWS</w:t>
            </w:r>
          </w:p>
        </w:tc>
        <w:tc>
          <w:tcPr>
            <w:tcW w:w="2268" w:type="dxa"/>
            <w:vAlign w:val="center"/>
          </w:tcPr>
          <w:p w14:paraId="76D8DECA" w14:textId="10CA59B1" w:rsidR="004D62F6" w:rsidRPr="004D62F6" w:rsidRDefault="003902E0" w:rsidP="004D62F6">
            <w:pPr>
              <w:jc w:val="center"/>
              <w:rPr>
                <w:rFonts w:ascii="Aptos" w:hAnsi="Aptos" w:cstheme="majorHAnsi"/>
                <w:sz w:val="20"/>
                <w:szCs w:val="20"/>
              </w:rPr>
            </w:pPr>
            <w:r w:rsidRPr="004D62F6">
              <w:rPr>
                <w:rFonts w:ascii="Aptos" w:hAnsi="Aptos" w:cstheme="majorHAnsi"/>
                <w:sz w:val="20"/>
                <w:szCs w:val="20"/>
              </w:rPr>
              <w:t>TAK</w:t>
            </w:r>
          </w:p>
          <w:p w14:paraId="78E7F360" w14:textId="2A377671" w:rsidR="003902E0" w:rsidRPr="004D62F6" w:rsidRDefault="003902E0" w:rsidP="00B74443">
            <w:pPr>
              <w:jc w:val="center"/>
              <w:rPr>
                <w:rFonts w:ascii="Aptos" w:hAnsi="Aptos" w:cstheme="majorHAnsi"/>
                <w:sz w:val="20"/>
                <w:szCs w:val="20"/>
              </w:rPr>
            </w:pPr>
          </w:p>
        </w:tc>
        <w:tc>
          <w:tcPr>
            <w:tcW w:w="4253" w:type="dxa"/>
            <w:vAlign w:val="center"/>
          </w:tcPr>
          <w:p w14:paraId="75709DC9" w14:textId="77777777" w:rsidR="003902E0" w:rsidRPr="004D62F6" w:rsidRDefault="003902E0" w:rsidP="00B74443">
            <w:pPr>
              <w:jc w:val="center"/>
              <w:rPr>
                <w:rFonts w:ascii="Aptos" w:hAnsi="Aptos" w:cstheme="majorHAnsi"/>
                <w:sz w:val="20"/>
                <w:szCs w:val="20"/>
              </w:rPr>
            </w:pPr>
          </w:p>
        </w:tc>
      </w:tr>
      <w:tr w:rsidR="003902E0" w:rsidRPr="004D62F6" w14:paraId="32BB6017" w14:textId="77777777" w:rsidTr="004D62F6">
        <w:trPr>
          <w:jc w:val="center"/>
        </w:trPr>
        <w:tc>
          <w:tcPr>
            <w:tcW w:w="664" w:type="dxa"/>
            <w:vAlign w:val="center"/>
          </w:tcPr>
          <w:p w14:paraId="5CADE474"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16221694"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Monitor wyposażony w funkcję oceny stanu świadomości wg. skali Glasgow (GCS) – wprowadzanie danych, wyświetlanie punktacji łącznej i podrzędnej oraz ustawianie odstępu czasowego w jakim mają być wprowadzane dane.</w:t>
            </w:r>
          </w:p>
        </w:tc>
        <w:tc>
          <w:tcPr>
            <w:tcW w:w="2268" w:type="dxa"/>
            <w:vAlign w:val="center"/>
          </w:tcPr>
          <w:p w14:paraId="34C8D67A"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p w14:paraId="17D8CE54" w14:textId="77777777" w:rsidR="003902E0" w:rsidRPr="004D62F6" w:rsidRDefault="003902E0" w:rsidP="00B74443">
            <w:pPr>
              <w:jc w:val="center"/>
              <w:rPr>
                <w:rFonts w:ascii="Aptos" w:hAnsi="Aptos" w:cstheme="majorHAnsi"/>
                <w:sz w:val="20"/>
                <w:szCs w:val="20"/>
              </w:rPr>
            </w:pPr>
          </w:p>
        </w:tc>
        <w:tc>
          <w:tcPr>
            <w:tcW w:w="4253" w:type="dxa"/>
            <w:vAlign w:val="center"/>
          </w:tcPr>
          <w:p w14:paraId="73703558" w14:textId="77777777" w:rsidR="003902E0" w:rsidRPr="004D62F6" w:rsidRDefault="003902E0" w:rsidP="00B74443">
            <w:pPr>
              <w:jc w:val="center"/>
              <w:rPr>
                <w:rFonts w:ascii="Aptos" w:hAnsi="Aptos" w:cstheme="majorHAnsi"/>
                <w:sz w:val="20"/>
                <w:szCs w:val="20"/>
              </w:rPr>
            </w:pPr>
          </w:p>
        </w:tc>
      </w:tr>
      <w:tr w:rsidR="003902E0" w:rsidRPr="004D62F6" w14:paraId="1F754B71" w14:textId="77777777" w:rsidTr="004D62F6">
        <w:trPr>
          <w:jc w:val="center"/>
        </w:trPr>
        <w:tc>
          <w:tcPr>
            <w:tcW w:w="664" w:type="dxa"/>
            <w:vAlign w:val="center"/>
          </w:tcPr>
          <w:p w14:paraId="59621437"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22AE7539" w14:textId="4631CD84"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 xml:space="preserve">Funkcja „standby”, pozwalająca na wstrzymanie monitorowania pacjenta, związane np. z czasowym odłączeniem go od monitora, bez konieczności wyłączania </w:t>
            </w:r>
            <w:r w:rsidR="00F73814" w:rsidRPr="004D62F6">
              <w:rPr>
                <w:rFonts w:ascii="Aptos" w:hAnsi="Aptos" w:cstheme="majorHAnsi"/>
                <w:sz w:val="20"/>
                <w:szCs w:val="20"/>
              </w:rPr>
              <w:t>monitora</w:t>
            </w:r>
            <w:r w:rsidRPr="004D62F6">
              <w:rPr>
                <w:rFonts w:ascii="Aptos" w:hAnsi="Aptos" w:cstheme="majorHAnsi"/>
                <w:sz w:val="20"/>
                <w:szCs w:val="20"/>
              </w:rPr>
              <w:t xml:space="preserve"> oraz na szybkie, ponowne uruchomienie monitorowania.</w:t>
            </w:r>
          </w:p>
        </w:tc>
        <w:tc>
          <w:tcPr>
            <w:tcW w:w="2268" w:type="dxa"/>
            <w:vAlign w:val="center"/>
          </w:tcPr>
          <w:p w14:paraId="19D3CD1F"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6D70E7B0" w14:textId="77777777" w:rsidR="003902E0" w:rsidRPr="004D62F6" w:rsidRDefault="003902E0" w:rsidP="00B74443">
            <w:pPr>
              <w:jc w:val="center"/>
              <w:rPr>
                <w:rFonts w:ascii="Aptos" w:hAnsi="Aptos" w:cstheme="majorHAnsi"/>
                <w:sz w:val="20"/>
                <w:szCs w:val="20"/>
              </w:rPr>
            </w:pPr>
          </w:p>
        </w:tc>
      </w:tr>
      <w:tr w:rsidR="003902E0" w:rsidRPr="004D62F6" w14:paraId="5B5FAC1C" w14:textId="77777777" w:rsidTr="004D62F6">
        <w:trPr>
          <w:jc w:val="center"/>
        </w:trPr>
        <w:tc>
          <w:tcPr>
            <w:tcW w:w="664" w:type="dxa"/>
            <w:vAlign w:val="center"/>
          </w:tcPr>
          <w:p w14:paraId="71DBF54E"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1E5EA793" w14:textId="77777777" w:rsidR="003902E0" w:rsidRPr="004D62F6" w:rsidRDefault="003902E0" w:rsidP="00B74443">
            <w:pPr>
              <w:jc w:val="both"/>
              <w:rPr>
                <w:rFonts w:ascii="Aptos" w:hAnsi="Aptos" w:cstheme="majorHAnsi"/>
                <w:sz w:val="20"/>
                <w:szCs w:val="20"/>
              </w:rPr>
            </w:pPr>
            <w:r w:rsidRPr="004D62F6">
              <w:rPr>
                <w:rFonts w:ascii="Aptos" w:hAnsi="Aptos" w:cstheme="majorHAnsi"/>
                <w:color w:val="000000"/>
                <w:sz w:val="20"/>
                <w:szCs w:val="20"/>
              </w:rPr>
              <w:t>Funkcja „tryb prywatny” pozwalająca - w przypadku podłączenia urządzenia do centrali - na ukrycie danych przed pacjentem i wyświetlanie ich tylko na stanowisku centralnym.</w:t>
            </w:r>
          </w:p>
        </w:tc>
        <w:tc>
          <w:tcPr>
            <w:tcW w:w="2268" w:type="dxa"/>
            <w:vAlign w:val="center"/>
          </w:tcPr>
          <w:p w14:paraId="304F7E28"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74A79081" w14:textId="77777777" w:rsidR="003902E0" w:rsidRPr="004D62F6" w:rsidRDefault="003902E0" w:rsidP="00B74443">
            <w:pPr>
              <w:jc w:val="center"/>
              <w:rPr>
                <w:rFonts w:ascii="Aptos" w:hAnsi="Aptos" w:cstheme="majorHAnsi"/>
                <w:sz w:val="20"/>
                <w:szCs w:val="20"/>
              </w:rPr>
            </w:pPr>
          </w:p>
        </w:tc>
      </w:tr>
      <w:tr w:rsidR="003902E0" w:rsidRPr="004D62F6" w14:paraId="4AF13357" w14:textId="77777777" w:rsidTr="004D62F6">
        <w:trPr>
          <w:jc w:val="center"/>
        </w:trPr>
        <w:tc>
          <w:tcPr>
            <w:tcW w:w="664" w:type="dxa"/>
            <w:vAlign w:val="center"/>
          </w:tcPr>
          <w:p w14:paraId="005A82C5"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2B5775D1"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Możliwość współpracy ze stacją centralnego nadzoru przystosowanej również do obsługi monitorów modułowych oraz nadajników telemetrycznych i defibrylatorów</w:t>
            </w:r>
          </w:p>
        </w:tc>
        <w:tc>
          <w:tcPr>
            <w:tcW w:w="2268" w:type="dxa"/>
            <w:vAlign w:val="center"/>
          </w:tcPr>
          <w:p w14:paraId="554F99E2" w14:textId="40982E07" w:rsidR="004D62F6" w:rsidRPr="004D62F6" w:rsidRDefault="003902E0" w:rsidP="004D62F6">
            <w:pPr>
              <w:jc w:val="center"/>
              <w:rPr>
                <w:rFonts w:ascii="Aptos" w:hAnsi="Aptos" w:cstheme="majorHAnsi"/>
                <w:sz w:val="20"/>
                <w:szCs w:val="20"/>
              </w:rPr>
            </w:pPr>
            <w:r w:rsidRPr="004D62F6">
              <w:rPr>
                <w:rFonts w:ascii="Aptos" w:hAnsi="Aptos" w:cstheme="majorHAnsi"/>
                <w:sz w:val="20"/>
                <w:szCs w:val="20"/>
              </w:rPr>
              <w:t>TAK</w:t>
            </w:r>
          </w:p>
          <w:p w14:paraId="69CF5BD9" w14:textId="3DDF9452" w:rsidR="003902E0" w:rsidRPr="004D62F6" w:rsidRDefault="003902E0" w:rsidP="00B74443">
            <w:pPr>
              <w:jc w:val="center"/>
              <w:rPr>
                <w:rFonts w:ascii="Aptos" w:hAnsi="Aptos" w:cstheme="majorHAnsi"/>
                <w:sz w:val="20"/>
                <w:szCs w:val="20"/>
              </w:rPr>
            </w:pPr>
          </w:p>
        </w:tc>
        <w:tc>
          <w:tcPr>
            <w:tcW w:w="4253" w:type="dxa"/>
            <w:vAlign w:val="center"/>
          </w:tcPr>
          <w:p w14:paraId="5303917C" w14:textId="77777777" w:rsidR="003902E0" w:rsidRPr="004D62F6" w:rsidRDefault="003902E0" w:rsidP="00B74443">
            <w:pPr>
              <w:jc w:val="center"/>
              <w:rPr>
                <w:rFonts w:ascii="Aptos" w:hAnsi="Aptos" w:cstheme="majorHAnsi"/>
                <w:sz w:val="20"/>
                <w:szCs w:val="20"/>
              </w:rPr>
            </w:pPr>
          </w:p>
        </w:tc>
      </w:tr>
      <w:tr w:rsidR="003902E0" w:rsidRPr="004D62F6" w14:paraId="6B5F47DF" w14:textId="77777777" w:rsidTr="004D62F6">
        <w:trPr>
          <w:jc w:val="center"/>
        </w:trPr>
        <w:tc>
          <w:tcPr>
            <w:tcW w:w="664" w:type="dxa"/>
            <w:vAlign w:val="center"/>
          </w:tcPr>
          <w:p w14:paraId="224B5CA9" w14:textId="77777777" w:rsidR="003902E0" w:rsidRPr="004D62F6" w:rsidRDefault="003902E0" w:rsidP="003902E0">
            <w:pPr>
              <w:pStyle w:val="Akapitzlist"/>
              <w:numPr>
                <w:ilvl w:val="0"/>
                <w:numId w:val="3"/>
              </w:numPr>
              <w:jc w:val="center"/>
              <w:rPr>
                <w:rFonts w:ascii="Aptos" w:hAnsi="Aptos" w:cstheme="majorHAnsi"/>
                <w:sz w:val="20"/>
                <w:szCs w:val="20"/>
              </w:rPr>
            </w:pPr>
          </w:p>
        </w:tc>
        <w:tc>
          <w:tcPr>
            <w:tcW w:w="6844" w:type="dxa"/>
          </w:tcPr>
          <w:p w14:paraId="402E80E2" w14:textId="77777777" w:rsidR="003902E0" w:rsidRPr="004D62F6" w:rsidRDefault="003902E0" w:rsidP="00B74443">
            <w:pPr>
              <w:jc w:val="both"/>
              <w:rPr>
                <w:rFonts w:ascii="Aptos" w:hAnsi="Aptos" w:cstheme="majorHAnsi"/>
                <w:sz w:val="20"/>
                <w:szCs w:val="20"/>
              </w:rPr>
            </w:pPr>
            <w:r w:rsidRPr="004D62F6">
              <w:rPr>
                <w:rFonts w:ascii="Aptos" w:hAnsi="Aptos" w:cstheme="majorHAnsi"/>
                <w:sz w:val="20"/>
                <w:szCs w:val="20"/>
              </w:rPr>
              <w:t>Statyw z półką do montażu monitora i dwoma koszykami na akcesoria lub uchwyt na ścianę z półką do montażu monitora i koszykiem na akcesoria (do wyboru przez zamawiającego na etapie realizacji zamówienia).</w:t>
            </w:r>
          </w:p>
        </w:tc>
        <w:tc>
          <w:tcPr>
            <w:tcW w:w="2268" w:type="dxa"/>
            <w:vAlign w:val="center"/>
          </w:tcPr>
          <w:p w14:paraId="53132E80" w14:textId="77777777" w:rsidR="003902E0" w:rsidRPr="004D62F6" w:rsidRDefault="003902E0" w:rsidP="00B74443">
            <w:pPr>
              <w:jc w:val="center"/>
              <w:rPr>
                <w:rFonts w:ascii="Aptos" w:hAnsi="Aptos" w:cstheme="majorHAnsi"/>
                <w:sz w:val="20"/>
                <w:szCs w:val="20"/>
              </w:rPr>
            </w:pPr>
            <w:r w:rsidRPr="004D62F6">
              <w:rPr>
                <w:rFonts w:ascii="Aptos" w:hAnsi="Aptos" w:cstheme="majorHAnsi"/>
                <w:sz w:val="20"/>
                <w:szCs w:val="20"/>
              </w:rPr>
              <w:t>TAK</w:t>
            </w:r>
          </w:p>
        </w:tc>
        <w:tc>
          <w:tcPr>
            <w:tcW w:w="4253" w:type="dxa"/>
            <w:vAlign w:val="center"/>
          </w:tcPr>
          <w:p w14:paraId="21EBBA85" w14:textId="77777777" w:rsidR="003902E0" w:rsidRPr="004D62F6" w:rsidRDefault="003902E0" w:rsidP="00B74443">
            <w:pPr>
              <w:jc w:val="center"/>
              <w:rPr>
                <w:rFonts w:ascii="Aptos" w:hAnsi="Aptos" w:cstheme="majorHAnsi"/>
                <w:sz w:val="20"/>
                <w:szCs w:val="20"/>
              </w:rPr>
            </w:pPr>
          </w:p>
        </w:tc>
      </w:tr>
    </w:tbl>
    <w:tbl>
      <w:tblPr>
        <w:tblStyle w:val="Tabela-Siatka1"/>
        <w:tblW w:w="14034" w:type="dxa"/>
        <w:tblInd w:w="-5" w:type="dxa"/>
        <w:tblLayout w:type="fixed"/>
        <w:tblLook w:val="04A0" w:firstRow="1" w:lastRow="0" w:firstColumn="1" w:lastColumn="0" w:noHBand="0" w:noVBand="1"/>
      </w:tblPr>
      <w:tblGrid>
        <w:gridCol w:w="704"/>
        <w:gridCol w:w="6809"/>
        <w:gridCol w:w="2268"/>
        <w:gridCol w:w="4253"/>
      </w:tblGrid>
      <w:tr w:rsidR="00CA4090" w:rsidRPr="004D62F6" w14:paraId="504FB5A6" w14:textId="77777777" w:rsidTr="007B57C7">
        <w:trPr>
          <w:trHeight w:val="425"/>
        </w:trPr>
        <w:tc>
          <w:tcPr>
            <w:tcW w:w="14034" w:type="dxa"/>
            <w:gridSpan w:val="4"/>
            <w:shd w:val="clear" w:color="auto" w:fill="D9D9D9" w:themeFill="background1" w:themeFillShade="D9"/>
            <w:vAlign w:val="center"/>
          </w:tcPr>
          <w:p w14:paraId="531B105E" w14:textId="77777777" w:rsidR="00CA4090" w:rsidRPr="004D62F6" w:rsidRDefault="00CA4090" w:rsidP="007B57C7">
            <w:pPr>
              <w:widowControl w:val="0"/>
              <w:textAlignment w:val="baseline"/>
              <w:rPr>
                <w:rFonts w:ascii="Aptos" w:eastAsia="SimSun" w:hAnsi="Aptos"/>
                <w:b/>
                <w:bCs/>
                <w:kern w:val="2"/>
                <w:sz w:val="20"/>
                <w:szCs w:val="20"/>
                <w:lang w:eastAsia="zh-CN" w:bidi="hi-IN"/>
              </w:rPr>
            </w:pPr>
            <w:bookmarkStart w:id="0" w:name="_Hlk221784856"/>
            <w:r w:rsidRPr="004D62F6">
              <w:rPr>
                <w:rFonts w:ascii="Aptos" w:hAnsi="Aptos"/>
                <w:b/>
                <w:bCs/>
                <w:color w:val="000000"/>
                <w:sz w:val="20"/>
                <w:szCs w:val="20"/>
              </w:rPr>
              <w:t>Ogólne warunki dostawy oferowanego sprzętu medycznego</w:t>
            </w:r>
          </w:p>
        </w:tc>
      </w:tr>
      <w:tr w:rsidR="00CA4090" w:rsidRPr="004D62F6" w14:paraId="7C048421" w14:textId="77777777" w:rsidTr="004D62F6">
        <w:tc>
          <w:tcPr>
            <w:tcW w:w="704" w:type="dxa"/>
            <w:vAlign w:val="center"/>
          </w:tcPr>
          <w:p w14:paraId="1CF8706E" w14:textId="77777777" w:rsidR="00CA4090" w:rsidRPr="004D62F6" w:rsidRDefault="00CA4090" w:rsidP="00CA4090">
            <w:pPr>
              <w:pStyle w:val="Akapitzlist"/>
              <w:widowControl w:val="0"/>
              <w:numPr>
                <w:ilvl w:val="0"/>
                <w:numId w:val="4"/>
              </w:numPr>
              <w:jc w:val="center"/>
              <w:textAlignment w:val="baseline"/>
              <w:rPr>
                <w:rFonts w:ascii="Aptos" w:eastAsia="SimSun" w:hAnsi="Aptos"/>
                <w:b/>
                <w:bCs/>
                <w:kern w:val="2"/>
                <w:sz w:val="20"/>
                <w:szCs w:val="20"/>
                <w:lang w:eastAsia="zh-CN" w:bidi="hi-IN"/>
              </w:rPr>
            </w:pPr>
          </w:p>
        </w:tc>
        <w:tc>
          <w:tcPr>
            <w:tcW w:w="6809" w:type="dxa"/>
            <w:tcBorders>
              <w:top w:val="single" w:sz="2" w:space="0" w:color="000000"/>
              <w:left w:val="single" w:sz="2" w:space="0" w:color="000000"/>
              <w:bottom w:val="single" w:sz="2" w:space="0" w:color="000000"/>
            </w:tcBorders>
            <w:vAlign w:val="center"/>
          </w:tcPr>
          <w:p w14:paraId="01FDFE9C" w14:textId="77777777" w:rsidR="00CA4090" w:rsidRPr="004D62F6" w:rsidRDefault="00CA4090" w:rsidP="007B57C7">
            <w:pPr>
              <w:widowControl w:val="0"/>
              <w:textAlignment w:val="baseline"/>
              <w:rPr>
                <w:rFonts w:ascii="Aptos" w:eastAsia="SimSun" w:hAnsi="Aptos"/>
                <w:b/>
                <w:bCs/>
                <w:kern w:val="2"/>
                <w:sz w:val="20"/>
                <w:szCs w:val="20"/>
                <w:lang w:eastAsia="zh-CN" w:bidi="hi-IN"/>
              </w:rPr>
            </w:pPr>
            <w:r w:rsidRPr="004D62F6">
              <w:rPr>
                <w:rFonts w:ascii="Aptos" w:hAnsi="Aptos"/>
                <w:sz w:val="20"/>
                <w:szCs w:val="20"/>
              </w:rPr>
              <w:t>Dostępność części zamiennych przez minimum 8 lat od daty podpisania protokołu odbioru.</w:t>
            </w:r>
          </w:p>
        </w:tc>
        <w:tc>
          <w:tcPr>
            <w:tcW w:w="2268" w:type="dxa"/>
            <w:tcBorders>
              <w:top w:val="single" w:sz="2" w:space="0" w:color="000000"/>
              <w:left w:val="single" w:sz="2" w:space="0" w:color="000000"/>
              <w:bottom w:val="single" w:sz="2" w:space="0" w:color="000000"/>
              <w:right w:val="single" w:sz="2" w:space="0" w:color="000000"/>
            </w:tcBorders>
            <w:vAlign w:val="center"/>
          </w:tcPr>
          <w:p w14:paraId="081D6790" w14:textId="77777777" w:rsidR="00CA4090" w:rsidRPr="004D62F6" w:rsidRDefault="00CA4090" w:rsidP="004D62F6">
            <w:pPr>
              <w:widowControl w:val="0"/>
              <w:jc w:val="center"/>
              <w:textAlignment w:val="baseline"/>
              <w:rPr>
                <w:rFonts w:ascii="Aptos" w:eastAsia="SimSun" w:hAnsi="Aptos"/>
                <w:kern w:val="2"/>
                <w:sz w:val="20"/>
                <w:szCs w:val="20"/>
                <w:lang w:eastAsia="zh-CN" w:bidi="hi-IN"/>
              </w:rPr>
            </w:pPr>
            <w:r w:rsidRPr="004D62F6">
              <w:rPr>
                <w:rFonts w:ascii="Aptos" w:hAnsi="Aptos"/>
                <w:sz w:val="20"/>
                <w:szCs w:val="20"/>
              </w:rPr>
              <w:t>TAK</w:t>
            </w:r>
          </w:p>
        </w:tc>
        <w:tc>
          <w:tcPr>
            <w:tcW w:w="4253" w:type="dxa"/>
            <w:vAlign w:val="center"/>
          </w:tcPr>
          <w:p w14:paraId="6B1ABE54" w14:textId="77777777" w:rsidR="00CA4090" w:rsidRPr="004D62F6" w:rsidRDefault="00CA4090" w:rsidP="007B57C7">
            <w:pPr>
              <w:widowControl w:val="0"/>
              <w:textAlignment w:val="baseline"/>
              <w:rPr>
                <w:rFonts w:ascii="Aptos" w:eastAsia="SimSun" w:hAnsi="Aptos"/>
                <w:b/>
                <w:bCs/>
                <w:color w:val="FF0000"/>
                <w:kern w:val="2"/>
                <w:sz w:val="20"/>
                <w:szCs w:val="20"/>
                <w:lang w:eastAsia="zh-CN" w:bidi="hi-IN"/>
              </w:rPr>
            </w:pPr>
          </w:p>
        </w:tc>
      </w:tr>
      <w:tr w:rsidR="00CA4090" w:rsidRPr="004D62F6" w14:paraId="03093807" w14:textId="77777777" w:rsidTr="004D62F6">
        <w:tc>
          <w:tcPr>
            <w:tcW w:w="704" w:type="dxa"/>
            <w:vAlign w:val="center"/>
          </w:tcPr>
          <w:p w14:paraId="4B8461A6" w14:textId="77777777" w:rsidR="00CA4090" w:rsidRPr="004D62F6" w:rsidRDefault="00CA4090" w:rsidP="00CA4090">
            <w:pPr>
              <w:pStyle w:val="Akapitzlist"/>
              <w:widowControl w:val="0"/>
              <w:numPr>
                <w:ilvl w:val="0"/>
                <w:numId w:val="4"/>
              </w:numPr>
              <w:jc w:val="center"/>
              <w:textAlignment w:val="baseline"/>
              <w:rPr>
                <w:rFonts w:ascii="Aptos" w:eastAsia="SimSun" w:hAnsi="Aptos"/>
                <w:b/>
                <w:bCs/>
                <w:kern w:val="2"/>
                <w:sz w:val="20"/>
                <w:szCs w:val="20"/>
                <w:lang w:eastAsia="zh-CN" w:bidi="hi-IN"/>
              </w:rPr>
            </w:pPr>
          </w:p>
        </w:tc>
        <w:tc>
          <w:tcPr>
            <w:tcW w:w="6809" w:type="dxa"/>
            <w:tcBorders>
              <w:top w:val="single" w:sz="2" w:space="0" w:color="000000"/>
              <w:left w:val="single" w:sz="2" w:space="0" w:color="000000"/>
              <w:bottom w:val="single" w:sz="2" w:space="0" w:color="000000"/>
            </w:tcBorders>
            <w:vAlign w:val="center"/>
          </w:tcPr>
          <w:p w14:paraId="30A2EAA2" w14:textId="77777777" w:rsidR="00CA4090" w:rsidRPr="004D62F6" w:rsidRDefault="00CA4090" w:rsidP="007B57C7">
            <w:pPr>
              <w:widowControl w:val="0"/>
              <w:textAlignment w:val="baseline"/>
              <w:rPr>
                <w:rFonts w:ascii="Aptos" w:hAnsi="Aptos"/>
                <w:sz w:val="20"/>
                <w:szCs w:val="20"/>
              </w:rPr>
            </w:pPr>
            <w:r w:rsidRPr="004D62F6">
              <w:rPr>
                <w:rFonts w:ascii="Aptos" w:eastAsia="Calibri" w:hAnsi="Aptos"/>
                <w:kern w:val="2"/>
                <w:sz w:val="20"/>
                <w:szCs w:val="20"/>
                <w:lang w:eastAsia="hi-IN" w:bidi="hi-IN"/>
              </w:rPr>
              <w:t>Czas reakcji serwisu liczony od chwili zgłoszenia do chwili przystąpienia do usunięcia usterki max. 48 godz. w dni robocze</w:t>
            </w:r>
          </w:p>
        </w:tc>
        <w:tc>
          <w:tcPr>
            <w:tcW w:w="2268" w:type="dxa"/>
            <w:tcBorders>
              <w:top w:val="single" w:sz="2" w:space="0" w:color="000000"/>
              <w:left w:val="single" w:sz="2" w:space="0" w:color="000000"/>
              <w:bottom w:val="single" w:sz="2" w:space="0" w:color="000000"/>
              <w:right w:val="single" w:sz="2" w:space="0" w:color="000000"/>
            </w:tcBorders>
            <w:vAlign w:val="center"/>
          </w:tcPr>
          <w:p w14:paraId="03EAD630" w14:textId="4DDB79E9" w:rsidR="00CA4090" w:rsidRPr="004D62F6" w:rsidRDefault="004D62F6" w:rsidP="004D62F6">
            <w:pPr>
              <w:widowControl w:val="0"/>
              <w:jc w:val="center"/>
              <w:textAlignment w:val="baseline"/>
              <w:rPr>
                <w:rFonts w:ascii="Aptos" w:eastAsia="SimSun" w:hAnsi="Aptos"/>
                <w:kern w:val="2"/>
                <w:sz w:val="20"/>
                <w:szCs w:val="20"/>
                <w:lang w:eastAsia="zh-CN" w:bidi="hi-IN"/>
              </w:rPr>
            </w:pPr>
            <w:r>
              <w:rPr>
                <w:rFonts w:ascii="Aptos" w:eastAsia="SimSun" w:hAnsi="Aptos"/>
                <w:kern w:val="2"/>
                <w:sz w:val="20"/>
                <w:szCs w:val="20"/>
                <w:lang w:eastAsia="zh-CN" w:bidi="hi-IN"/>
              </w:rPr>
              <w:t>TAK</w:t>
            </w:r>
          </w:p>
        </w:tc>
        <w:tc>
          <w:tcPr>
            <w:tcW w:w="4253" w:type="dxa"/>
            <w:tcBorders>
              <w:top w:val="single" w:sz="2" w:space="0" w:color="000000"/>
              <w:left w:val="single" w:sz="2" w:space="0" w:color="000000"/>
              <w:bottom w:val="single" w:sz="2" w:space="0" w:color="000000"/>
              <w:right w:val="single" w:sz="2" w:space="0" w:color="000000"/>
            </w:tcBorders>
            <w:vAlign w:val="center"/>
          </w:tcPr>
          <w:p w14:paraId="6327A59C" w14:textId="77777777" w:rsidR="00CA4090" w:rsidRPr="004D62F6" w:rsidRDefault="00CA4090" w:rsidP="007B57C7">
            <w:pPr>
              <w:widowControl w:val="0"/>
              <w:textAlignment w:val="baseline"/>
              <w:rPr>
                <w:rFonts w:ascii="Aptos" w:eastAsia="SimSun" w:hAnsi="Aptos"/>
                <w:b/>
                <w:bCs/>
                <w:color w:val="FF0000"/>
                <w:kern w:val="2"/>
                <w:sz w:val="20"/>
                <w:szCs w:val="20"/>
                <w:lang w:eastAsia="zh-CN" w:bidi="hi-IN"/>
              </w:rPr>
            </w:pPr>
          </w:p>
        </w:tc>
      </w:tr>
      <w:tr w:rsidR="00CA4090" w:rsidRPr="004D62F6" w14:paraId="05BC13DE" w14:textId="77777777" w:rsidTr="004D62F6">
        <w:tc>
          <w:tcPr>
            <w:tcW w:w="704" w:type="dxa"/>
            <w:vAlign w:val="center"/>
          </w:tcPr>
          <w:p w14:paraId="13B71CAB" w14:textId="77777777" w:rsidR="00CA4090" w:rsidRPr="004D62F6" w:rsidRDefault="00CA4090" w:rsidP="00CA4090">
            <w:pPr>
              <w:pStyle w:val="Akapitzlist"/>
              <w:widowControl w:val="0"/>
              <w:numPr>
                <w:ilvl w:val="0"/>
                <w:numId w:val="4"/>
              </w:numPr>
              <w:jc w:val="center"/>
              <w:textAlignment w:val="baseline"/>
              <w:rPr>
                <w:rFonts w:ascii="Aptos" w:eastAsia="SimSun" w:hAnsi="Aptos"/>
                <w:b/>
                <w:bCs/>
                <w:kern w:val="2"/>
                <w:sz w:val="20"/>
                <w:szCs w:val="20"/>
                <w:lang w:eastAsia="zh-CN" w:bidi="hi-IN"/>
              </w:rPr>
            </w:pPr>
          </w:p>
        </w:tc>
        <w:tc>
          <w:tcPr>
            <w:tcW w:w="6809" w:type="dxa"/>
            <w:vAlign w:val="center"/>
          </w:tcPr>
          <w:p w14:paraId="72D38178" w14:textId="77777777" w:rsidR="00CA4090" w:rsidRPr="004D62F6" w:rsidRDefault="00CA4090" w:rsidP="007B57C7">
            <w:pPr>
              <w:rPr>
                <w:rFonts w:ascii="Aptos" w:hAnsi="Aptos"/>
                <w:sz w:val="20"/>
                <w:szCs w:val="20"/>
              </w:rPr>
            </w:pPr>
            <w:r w:rsidRPr="004D62F6">
              <w:rPr>
                <w:rFonts w:ascii="Aptos" w:hAnsi="Aptos"/>
                <w:sz w:val="20"/>
                <w:szCs w:val="20"/>
              </w:rPr>
              <w:t>W ramach udzielonej gwarancji, Wykonawca zobowiązany jest do wykonania, na własny koszt, wszystkich przeglądów technicznych, konserwacji, kalibracji i innych czynności serwisowych, które są wymagane i przewidziane przez producenta urządzenia w okresie, na jaki udzielana jest gwarancja. Wykonanie tych czynności musi być zgodne z dokumentacją techniczną i zaleceniami producenta.</w:t>
            </w:r>
          </w:p>
          <w:p w14:paraId="371AD606" w14:textId="77777777" w:rsidR="00CA4090" w:rsidRPr="004D62F6" w:rsidRDefault="00CA4090" w:rsidP="007B57C7">
            <w:pPr>
              <w:widowControl w:val="0"/>
              <w:textAlignment w:val="baseline"/>
              <w:rPr>
                <w:rFonts w:ascii="Aptos" w:hAnsi="Aptos"/>
                <w:sz w:val="20"/>
                <w:szCs w:val="20"/>
              </w:rPr>
            </w:pPr>
          </w:p>
        </w:tc>
        <w:tc>
          <w:tcPr>
            <w:tcW w:w="2268" w:type="dxa"/>
            <w:vAlign w:val="center"/>
          </w:tcPr>
          <w:p w14:paraId="1B9180B8" w14:textId="77777777" w:rsidR="00CA4090" w:rsidRPr="004D62F6" w:rsidRDefault="00CA4090" w:rsidP="004D62F6">
            <w:pPr>
              <w:widowControl w:val="0"/>
              <w:jc w:val="center"/>
              <w:textAlignment w:val="baseline"/>
              <w:rPr>
                <w:rFonts w:ascii="Aptos" w:eastAsia="SimSun" w:hAnsi="Aptos"/>
                <w:kern w:val="2"/>
                <w:sz w:val="20"/>
                <w:szCs w:val="20"/>
                <w:lang w:eastAsia="zh-CN" w:bidi="hi-IN"/>
              </w:rPr>
            </w:pPr>
            <w:r w:rsidRPr="004D62F6">
              <w:rPr>
                <w:rFonts w:ascii="Aptos" w:eastAsia="SimSun" w:hAnsi="Aptos"/>
                <w:kern w:val="2"/>
                <w:sz w:val="20"/>
                <w:szCs w:val="20"/>
                <w:lang w:eastAsia="zh-CN" w:bidi="hi-IN"/>
              </w:rPr>
              <w:t>TAK</w:t>
            </w:r>
          </w:p>
        </w:tc>
        <w:tc>
          <w:tcPr>
            <w:tcW w:w="4253" w:type="dxa"/>
            <w:vAlign w:val="center"/>
          </w:tcPr>
          <w:p w14:paraId="3803D2D5" w14:textId="77777777" w:rsidR="00CA4090" w:rsidRPr="004D62F6" w:rsidRDefault="00CA4090" w:rsidP="007B57C7">
            <w:pPr>
              <w:widowControl w:val="0"/>
              <w:textAlignment w:val="baseline"/>
              <w:rPr>
                <w:rFonts w:ascii="Aptos" w:eastAsia="SimSun" w:hAnsi="Aptos"/>
                <w:b/>
                <w:bCs/>
                <w:color w:val="FF0000"/>
                <w:kern w:val="2"/>
                <w:sz w:val="20"/>
                <w:szCs w:val="20"/>
                <w:lang w:eastAsia="zh-CN" w:bidi="hi-IN"/>
              </w:rPr>
            </w:pPr>
          </w:p>
        </w:tc>
      </w:tr>
      <w:bookmarkEnd w:id="0"/>
    </w:tbl>
    <w:p w14:paraId="1B52E100" w14:textId="77777777" w:rsidR="00CA4090" w:rsidRPr="004D62F6" w:rsidRDefault="00CA4090" w:rsidP="00CA4090">
      <w:pPr>
        <w:rPr>
          <w:rFonts w:ascii="Aptos" w:hAnsi="Aptos"/>
          <w:sz w:val="20"/>
          <w:szCs w:val="20"/>
        </w:rPr>
      </w:pPr>
    </w:p>
    <w:p w14:paraId="415521C2" w14:textId="77777777" w:rsidR="003902E0" w:rsidRPr="004D62F6" w:rsidRDefault="003902E0" w:rsidP="003902E0">
      <w:pPr>
        <w:rPr>
          <w:rFonts w:ascii="Aptos" w:hAnsi="Aptos" w:cstheme="majorHAnsi"/>
          <w:sz w:val="20"/>
          <w:szCs w:val="20"/>
        </w:rPr>
      </w:pPr>
    </w:p>
    <w:p w14:paraId="59D7F64D" w14:textId="77777777" w:rsidR="00E93545" w:rsidRPr="004D62F6" w:rsidRDefault="00E93545" w:rsidP="00E93545">
      <w:pPr>
        <w:rPr>
          <w:rFonts w:ascii="Aptos" w:hAnsi="Aptos" w:cstheme="majorHAnsi"/>
          <w:sz w:val="20"/>
          <w:szCs w:val="20"/>
        </w:rPr>
      </w:pPr>
    </w:p>
    <w:p w14:paraId="6B2CCFD0" w14:textId="77777777" w:rsidR="00BF65B3" w:rsidRPr="004D62F6" w:rsidRDefault="00BF65B3" w:rsidP="00A57E8A">
      <w:pPr>
        <w:rPr>
          <w:rFonts w:ascii="Aptos" w:hAnsi="Aptos"/>
          <w:sz w:val="20"/>
          <w:szCs w:val="20"/>
        </w:rPr>
      </w:pPr>
    </w:p>
    <w:sectPr w:rsidR="00BF65B3" w:rsidRPr="004D62F6" w:rsidSect="005A6CF9">
      <w:headerReference w:type="even" r:id="rId10"/>
      <w:headerReference w:type="default" r:id="rId11"/>
      <w:footerReference w:type="even" r:id="rId12"/>
      <w:footerReference w:type="default" r:id="rId13"/>
      <w:headerReference w:type="first" r:id="rId14"/>
      <w:footerReference w:type="first" r:id="rId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0A96E" w14:textId="77777777" w:rsidR="000512A9" w:rsidRDefault="000512A9" w:rsidP="004D62F6">
      <w:r>
        <w:separator/>
      </w:r>
    </w:p>
  </w:endnote>
  <w:endnote w:type="continuationSeparator" w:id="0">
    <w:p w14:paraId="185BA4D4" w14:textId="77777777" w:rsidR="000512A9" w:rsidRDefault="000512A9" w:rsidP="004D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7E08A" w14:textId="77777777" w:rsidR="004D62F6" w:rsidRDefault="004D62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ED01" w14:textId="77777777" w:rsidR="004D62F6" w:rsidRDefault="004D62F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AD56E" w14:textId="77777777" w:rsidR="004D62F6" w:rsidRDefault="004D62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9783" w14:textId="77777777" w:rsidR="000512A9" w:rsidRDefault="000512A9" w:rsidP="004D62F6">
      <w:r>
        <w:separator/>
      </w:r>
    </w:p>
  </w:footnote>
  <w:footnote w:type="continuationSeparator" w:id="0">
    <w:p w14:paraId="53428023" w14:textId="77777777" w:rsidR="000512A9" w:rsidRDefault="000512A9" w:rsidP="004D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B624" w14:textId="77777777" w:rsidR="004D62F6" w:rsidRDefault="004D62F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88D0" w14:textId="623472E8" w:rsidR="004D62F6" w:rsidRDefault="004D62F6">
    <w:pPr>
      <w:pStyle w:val="Nagwek"/>
    </w:pPr>
    <w:r>
      <w:rPr>
        <w:noProof/>
      </w:rPr>
      <w:drawing>
        <wp:inline distT="0" distB="0" distL="0" distR="0" wp14:anchorId="11291DED" wp14:editId="716DD94C">
          <wp:extent cx="5759450" cy="575310"/>
          <wp:effectExtent l="0" t="0" r="0" b="0"/>
          <wp:docPr id="702494025" name="Obraz 2" descr="The image displays a series of logos representing the Polish Ministry of Health and the European Union's Next Generation EU pro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descr="The image displays a series of logos representing the Polish Ministry of Health and the European Union's Next Generation EU program.&#10;&#10;Zawartość wygenerowana przez AI może być niepopraw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49BAA" w14:textId="77777777" w:rsidR="004D62F6" w:rsidRDefault="004D62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257C"/>
    <w:multiLevelType w:val="hybridMultilevel"/>
    <w:tmpl w:val="7C72BE08"/>
    <w:lvl w:ilvl="0" w:tplc="4FF61C8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152EDE"/>
    <w:multiLevelType w:val="hybridMultilevel"/>
    <w:tmpl w:val="5186E82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95F094D"/>
    <w:multiLevelType w:val="hybridMultilevel"/>
    <w:tmpl w:val="8F509CE6"/>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E2522F4"/>
    <w:multiLevelType w:val="hybridMultilevel"/>
    <w:tmpl w:val="2184079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0787145">
    <w:abstractNumId w:val="2"/>
  </w:num>
  <w:num w:numId="2" w16cid:durableId="1003505658">
    <w:abstractNumId w:val="1"/>
  </w:num>
  <w:num w:numId="3" w16cid:durableId="232089282">
    <w:abstractNumId w:val="3"/>
  </w:num>
  <w:num w:numId="4" w16cid:durableId="198203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F9"/>
    <w:rsid w:val="000512A9"/>
    <w:rsid w:val="00356758"/>
    <w:rsid w:val="003902E0"/>
    <w:rsid w:val="004B4966"/>
    <w:rsid w:val="004D62F6"/>
    <w:rsid w:val="005A6CF9"/>
    <w:rsid w:val="005F2529"/>
    <w:rsid w:val="00A57E8A"/>
    <w:rsid w:val="00B625E5"/>
    <w:rsid w:val="00BF3A8A"/>
    <w:rsid w:val="00BF65B3"/>
    <w:rsid w:val="00CA4090"/>
    <w:rsid w:val="00E146BF"/>
    <w:rsid w:val="00E31574"/>
    <w:rsid w:val="00E93545"/>
    <w:rsid w:val="00F73814"/>
    <w:rsid w:val="00F80F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9BAC9"/>
  <w15:chartTrackingRefBased/>
  <w15:docId w15:val="{9B8C9B55-9AC6-4738-A88B-E356E2B6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7E8A"/>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uiPriority w:val="9"/>
    <w:qFormat/>
    <w:rsid w:val="005A6C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A6C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A6CF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A6CF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A6CF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A6CF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A6CF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A6CF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A6CF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6CF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A6CF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A6CF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A6CF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A6CF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A6CF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A6CF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A6CF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A6CF9"/>
    <w:rPr>
      <w:rFonts w:eastAsiaTheme="majorEastAsia" w:cstheme="majorBidi"/>
      <w:color w:val="272727" w:themeColor="text1" w:themeTint="D8"/>
    </w:rPr>
  </w:style>
  <w:style w:type="paragraph" w:styleId="Tytu">
    <w:name w:val="Title"/>
    <w:basedOn w:val="Normalny"/>
    <w:next w:val="Normalny"/>
    <w:link w:val="TytuZnak"/>
    <w:uiPriority w:val="10"/>
    <w:qFormat/>
    <w:rsid w:val="005A6CF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A6C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A6CF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A6CF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A6CF9"/>
    <w:pPr>
      <w:spacing w:before="160"/>
      <w:jc w:val="center"/>
    </w:pPr>
    <w:rPr>
      <w:i/>
      <w:iCs/>
      <w:color w:val="404040" w:themeColor="text1" w:themeTint="BF"/>
    </w:rPr>
  </w:style>
  <w:style w:type="character" w:customStyle="1" w:styleId="CytatZnak">
    <w:name w:val="Cytat Znak"/>
    <w:basedOn w:val="Domylnaczcionkaakapitu"/>
    <w:link w:val="Cytat"/>
    <w:uiPriority w:val="29"/>
    <w:rsid w:val="005A6CF9"/>
    <w:rPr>
      <w:i/>
      <w:iCs/>
      <w:color w:val="404040" w:themeColor="text1" w:themeTint="BF"/>
    </w:rPr>
  </w:style>
  <w:style w:type="paragraph" w:styleId="Akapitzlist">
    <w:name w:val="List Paragraph"/>
    <w:basedOn w:val="Normalny"/>
    <w:link w:val="AkapitzlistZnak"/>
    <w:uiPriority w:val="34"/>
    <w:qFormat/>
    <w:rsid w:val="005A6CF9"/>
    <w:pPr>
      <w:ind w:left="720"/>
      <w:contextualSpacing/>
    </w:pPr>
  </w:style>
  <w:style w:type="character" w:styleId="Wyrnienieintensywne">
    <w:name w:val="Intense Emphasis"/>
    <w:basedOn w:val="Domylnaczcionkaakapitu"/>
    <w:uiPriority w:val="21"/>
    <w:qFormat/>
    <w:rsid w:val="005A6CF9"/>
    <w:rPr>
      <w:i/>
      <w:iCs/>
      <w:color w:val="2F5496" w:themeColor="accent1" w:themeShade="BF"/>
    </w:rPr>
  </w:style>
  <w:style w:type="paragraph" w:styleId="Cytatintensywny">
    <w:name w:val="Intense Quote"/>
    <w:basedOn w:val="Normalny"/>
    <w:next w:val="Normalny"/>
    <w:link w:val="CytatintensywnyZnak"/>
    <w:uiPriority w:val="30"/>
    <w:qFormat/>
    <w:rsid w:val="005A6C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A6CF9"/>
    <w:rPr>
      <w:i/>
      <w:iCs/>
      <w:color w:val="2F5496" w:themeColor="accent1" w:themeShade="BF"/>
    </w:rPr>
  </w:style>
  <w:style w:type="character" w:styleId="Odwoanieintensywne">
    <w:name w:val="Intense Reference"/>
    <w:basedOn w:val="Domylnaczcionkaakapitu"/>
    <w:uiPriority w:val="32"/>
    <w:qFormat/>
    <w:rsid w:val="005A6CF9"/>
    <w:rPr>
      <w:b/>
      <w:bCs/>
      <w:smallCaps/>
      <w:color w:val="2F5496" w:themeColor="accent1" w:themeShade="BF"/>
      <w:spacing w:val="5"/>
    </w:rPr>
  </w:style>
  <w:style w:type="table" w:styleId="Tabela-Siatka">
    <w:name w:val="Table Grid"/>
    <w:basedOn w:val="Standardowy"/>
    <w:uiPriority w:val="39"/>
    <w:rsid w:val="005A6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qFormat/>
    <w:rsid w:val="005A6CF9"/>
    <w:pPr>
      <w:spacing w:after="0" w:line="240" w:lineRule="auto"/>
    </w:pPr>
    <w:rPr>
      <w:rFonts w:ascii="Calibri" w:eastAsia="Calibri" w:hAnsi="Calibri" w:cs="Times New Roman"/>
      <w:kern w:val="0"/>
      <w14:ligatures w14:val="none"/>
    </w:rPr>
  </w:style>
  <w:style w:type="character" w:customStyle="1" w:styleId="BezodstpwZnak">
    <w:name w:val="Bez odstępów Znak"/>
    <w:link w:val="Bezodstpw"/>
    <w:rsid w:val="005A6CF9"/>
    <w:rPr>
      <w:rFonts w:ascii="Calibri" w:eastAsia="Calibri" w:hAnsi="Calibri" w:cs="Times New Roman"/>
      <w:kern w:val="0"/>
      <w14:ligatures w14:val="none"/>
    </w:rPr>
  </w:style>
  <w:style w:type="character" w:customStyle="1" w:styleId="AkapitzlistZnak">
    <w:name w:val="Akapit z listą Znak"/>
    <w:link w:val="Akapitzlist"/>
    <w:uiPriority w:val="34"/>
    <w:rsid w:val="00A57E8A"/>
  </w:style>
  <w:style w:type="paragraph" w:customStyle="1" w:styleId="Style10">
    <w:name w:val="Style10"/>
    <w:basedOn w:val="Normalny"/>
    <w:rsid w:val="00E93545"/>
    <w:pPr>
      <w:widowControl w:val="0"/>
      <w:autoSpaceDE w:val="0"/>
      <w:jc w:val="center"/>
    </w:pPr>
    <w:rPr>
      <w:rFonts w:ascii="Trebuchet MS" w:hAnsi="Trebuchet MS" w:cs="Trebuchet MS"/>
      <w:lang w:eastAsia="zh-CN"/>
    </w:rPr>
  </w:style>
  <w:style w:type="table" w:customStyle="1" w:styleId="Tabela-Siatka1">
    <w:name w:val="Tabela - Siatka1"/>
    <w:basedOn w:val="Standardowy"/>
    <w:next w:val="Tabela-Siatka"/>
    <w:uiPriority w:val="39"/>
    <w:rsid w:val="00CA4090"/>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D62F6"/>
    <w:pPr>
      <w:tabs>
        <w:tab w:val="center" w:pos="4536"/>
        <w:tab w:val="right" w:pos="9072"/>
      </w:tabs>
    </w:pPr>
  </w:style>
  <w:style w:type="character" w:customStyle="1" w:styleId="NagwekZnak">
    <w:name w:val="Nagłówek Znak"/>
    <w:basedOn w:val="Domylnaczcionkaakapitu"/>
    <w:link w:val="Nagwek"/>
    <w:uiPriority w:val="99"/>
    <w:rsid w:val="004D62F6"/>
    <w:rPr>
      <w:rFonts w:ascii="Times New Roman" w:eastAsia="Times New Roman" w:hAnsi="Times New Roman" w:cs="Times New Roman"/>
      <w:kern w:val="0"/>
      <w:sz w:val="24"/>
      <w:szCs w:val="24"/>
      <w:lang w:eastAsia="ar-SA"/>
      <w14:ligatures w14:val="none"/>
    </w:rPr>
  </w:style>
  <w:style w:type="paragraph" w:styleId="Stopka">
    <w:name w:val="footer"/>
    <w:basedOn w:val="Normalny"/>
    <w:link w:val="StopkaZnak"/>
    <w:uiPriority w:val="99"/>
    <w:unhideWhenUsed/>
    <w:rsid w:val="004D62F6"/>
    <w:pPr>
      <w:tabs>
        <w:tab w:val="center" w:pos="4536"/>
        <w:tab w:val="right" w:pos="9072"/>
      </w:tabs>
    </w:pPr>
  </w:style>
  <w:style w:type="character" w:customStyle="1" w:styleId="StopkaZnak">
    <w:name w:val="Stopka Znak"/>
    <w:basedOn w:val="Domylnaczcionkaakapitu"/>
    <w:link w:val="Stopka"/>
    <w:uiPriority w:val="99"/>
    <w:rsid w:val="004D62F6"/>
    <w:rPr>
      <w:rFonts w:ascii="Times New Roman" w:eastAsia="Times New Roman"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72D0A-0B07-4407-A7F1-18E1142870DC}">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2.xml><?xml version="1.0" encoding="utf-8"?>
<ds:datastoreItem xmlns:ds="http://schemas.openxmlformats.org/officeDocument/2006/customXml" ds:itemID="{093DA6C9-29F0-4510-ABE9-8B3285F6415E}">
  <ds:schemaRefs>
    <ds:schemaRef ds:uri="http://schemas.microsoft.com/sharepoint/v3/contenttype/forms"/>
  </ds:schemaRefs>
</ds:datastoreItem>
</file>

<file path=customXml/itemProps3.xml><?xml version="1.0" encoding="utf-8"?>
<ds:datastoreItem xmlns:ds="http://schemas.openxmlformats.org/officeDocument/2006/customXml" ds:itemID="{800FD576-6BA8-4A3C-963F-AD5ED8020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1089</Words>
  <Characters>6539</Characters>
  <Application>Microsoft Office Word</Application>
  <DocSecurity>0</DocSecurity>
  <Lines>54</Lines>
  <Paragraphs>15</Paragraphs>
  <ScaleCrop>false</ScaleCrop>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Noga</dc:creator>
  <cp:keywords/>
  <dc:description/>
  <cp:lastModifiedBy>Niespodzianska, Joanna</cp:lastModifiedBy>
  <cp:revision>5</cp:revision>
  <dcterms:created xsi:type="dcterms:W3CDTF">2026-01-27T12:15:00Z</dcterms:created>
  <dcterms:modified xsi:type="dcterms:W3CDTF">2026-04-02T11:19:00Z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ies>
</file>